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1A99B898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5644B1">
        <w:t>5</w:t>
      </w:r>
      <w:r>
        <w:tab/>
      </w:r>
      <w:r>
        <w:tab/>
      </w:r>
      <w:r w:rsidR="008D07F7" w:rsidRPr="008D07F7">
        <w:t>R4-2218118</w:t>
      </w:r>
    </w:p>
    <w:p w14:paraId="4A8CACC6" w14:textId="466F35B1" w:rsidR="00F72F4F" w:rsidRPr="00FD166F" w:rsidRDefault="005644B1" w:rsidP="00F72F4F">
      <w:pPr>
        <w:pStyle w:val="CH"/>
        <w:tabs>
          <w:tab w:val="clear" w:pos="7920"/>
        </w:tabs>
        <w:rPr>
          <w:b w:val="0"/>
        </w:rPr>
      </w:pPr>
      <w:r>
        <w:t>Toulouse</w:t>
      </w:r>
      <w:r w:rsidRPr="00EC4847">
        <w:t xml:space="preserve">, </w:t>
      </w:r>
      <w:r>
        <w:t>France, November</w:t>
      </w:r>
      <w:r w:rsidRPr="00A14D3F">
        <w:t xml:space="preserve"> </w:t>
      </w:r>
      <w:r>
        <w:t>14</w:t>
      </w:r>
      <w:r>
        <w:rPr>
          <w:vertAlign w:val="superscript"/>
        </w:rPr>
        <w:t>th</w:t>
      </w:r>
      <w:r w:rsidRPr="00A14D3F">
        <w:t xml:space="preserve"> – </w:t>
      </w:r>
      <w:r>
        <w:t>18</w:t>
      </w:r>
      <w:r>
        <w:rPr>
          <w:vertAlign w:val="superscript"/>
        </w:rPr>
        <w:t>th</w:t>
      </w:r>
      <w:r w:rsidRPr="00A14D3F">
        <w:t>, 202</w:t>
      </w:r>
      <w:r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ADB25D0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5644B1">
        <w:t>11</w:t>
      </w:r>
      <w:r w:rsidR="005876FE">
        <w:t>.3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5FA9814F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CC65DA">
        <w:t>Solutions to resolve</w:t>
      </w:r>
      <w:r w:rsidR="005876FE">
        <w:t xml:space="preserve"> intra-band EN-DC combinations</w:t>
      </w:r>
      <w:r w:rsidR="00CC65DA">
        <w:t xml:space="preserve"> issue</w:t>
      </w:r>
      <w:r w:rsidR="00D603CA">
        <w:t xml:space="preserve"> </w:t>
      </w:r>
      <w:r w:rsidR="00AC0150">
        <w:t xml:space="preserve"> </w:t>
      </w:r>
    </w:p>
    <w:p w14:paraId="052B1E0C" w14:textId="7A4F8179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536779" w:rsidRPr="00536779">
        <w:rPr>
          <w:lang w:val="en-GB"/>
        </w:rPr>
        <w:t>NR_newRAT</w:t>
      </w:r>
      <w:proofErr w:type="spellEnd"/>
      <w:r w:rsidR="00536779" w:rsidRPr="00536779">
        <w:rPr>
          <w:lang w:val="en-GB"/>
        </w:rPr>
        <w:t>-Core</w:t>
      </w:r>
    </w:p>
    <w:p w14:paraId="6C6D1281" w14:textId="71D34D60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5876FE">
        <w:t>Rel-16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69FE627A" w14:textId="03C68D95" w:rsidR="00F073C3" w:rsidRDefault="005876FE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876FE">
        <w:rPr>
          <w:rFonts w:ascii="Arial" w:hAnsi="Arial" w:cs="Arial"/>
          <w:sz w:val="20"/>
          <w:szCs w:val="20"/>
        </w:rPr>
        <w:t xml:space="preserve">Intra-band EN-DC combinations as contiguous or non-contiguous can be clearly differentiated when there is only one LTE CC and one NR CC in the combination, such as DC_(n)48AA (contiguous) and DC_48A_n48A (non-contiguous) where DL and UL are of the same configuration. However, when there are more than one CCs in LTE or/and NR cell groups, for certain combinations, RAN4’s definition of contiguous or non-contiguous in conjunction with RAN2 UE capability signaling design became ambiguous, such as DC_(n)48CA for DL with DC_48A_n48A as UL which is currently defined as contiguous EN-DC in 38.101-3 [1]. </w:t>
      </w:r>
      <w:r w:rsidR="00F073C3">
        <w:rPr>
          <w:rFonts w:ascii="Arial" w:hAnsi="Arial" w:cs="Arial"/>
          <w:sz w:val="20"/>
          <w:szCs w:val="20"/>
        </w:rPr>
        <w:t xml:space="preserve">This issue has been discussed in RAN4 since RAN4 #97-e meeting [2] and remained unresolved for </w:t>
      </w:r>
      <w:r w:rsidR="005644B1">
        <w:rPr>
          <w:rFonts w:ascii="Arial" w:hAnsi="Arial" w:cs="Arial"/>
          <w:sz w:val="20"/>
          <w:szCs w:val="20"/>
        </w:rPr>
        <w:t>nearly</w:t>
      </w:r>
      <w:r w:rsidR="00F073C3">
        <w:rPr>
          <w:rFonts w:ascii="Arial" w:hAnsi="Arial" w:cs="Arial"/>
          <w:sz w:val="20"/>
          <w:szCs w:val="20"/>
        </w:rPr>
        <w:t xml:space="preserve"> 2 </w:t>
      </w:r>
      <w:r w:rsidR="005644B1">
        <w:rPr>
          <w:rFonts w:ascii="Arial" w:hAnsi="Arial" w:cs="Arial"/>
          <w:sz w:val="20"/>
          <w:szCs w:val="20"/>
        </w:rPr>
        <w:t>year</w:t>
      </w:r>
      <w:r w:rsidR="00F073C3">
        <w:rPr>
          <w:rFonts w:ascii="Arial" w:hAnsi="Arial" w:cs="Arial"/>
          <w:sz w:val="20"/>
          <w:szCs w:val="20"/>
        </w:rPr>
        <w:t xml:space="preserve">s. The issue had also been raised to RAN #91-e meeting [3] and returned back to RAN4 for further discussions. And after </w:t>
      </w:r>
      <w:r w:rsidR="005644B1">
        <w:rPr>
          <w:rFonts w:ascii="Arial" w:hAnsi="Arial" w:cs="Arial"/>
          <w:sz w:val="20"/>
          <w:szCs w:val="20"/>
        </w:rPr>
        <w:t>20</w:t>
      </w:r>
      <w:r w:rsidR="00F073C3">
        <w:rPr>
          <w:rFonts w:ascii="Arial" w:hAnsi="Arial" w:cs="Arial"/>
          <w:sz w:val="20"/>
          <w:szCs w:val="20"/>
        </w:rPr>
        <w:t xml:space="preserve"> months, the issue was brought up to RAN meeting again in #97-e meeting [4] where the RAN conclusion was to </w:t>
      </w:r>
      <w:r w:rsidR="00F073C3" w:rsidRPr="00F073C3">
        <w:rPr>
          <w:rFonts w:ascii="Arial" w:hAnsi="Arial" w:cs="Arial"/>
          <w:sz w:val="20"/>
          <w:szCs w:val="20"/>
        </w:rPr>
        <w:t>task RAN4 and RAN2 to have more discussion</w:t>
      </w:r>
      <w:r w:rsidR="00F073C3">
        <w:rPr>
          <w:rFonts w:ascii="Arial" w:hAnsi="Arial" w:cs="Arial"/>
          <w:sz w:val="20"/>
          <w:szCs w:val="20"/>
        </w:rPr>
        <w:t>s</w:t>
      </w:r>
      <w:r w:rsidR="00F073C3" w:rsidRPr="00F073C3">
        <w:rPr>
          <w:rFonts w:ascii="Arial" w:hAnsi="Arial" w:cs="Arial"/>
          <w:sz w:val="20"/>
          <w:szCs w:val="20"/>
        </w:rPr>
        <w:t xml:space="preserve"> in Q4/22 to check the inconsistency issue described in RP-222646</w:t>
      </w:r>
      <w:r w:rsidR="00F073C3">
        <w:rPr>
          <w:rFonts w:ascii="Arial" w:hAnsi="Arial" w:cs="Arial"/>
          <w:sz w:val="20"/>
          <w:szCs w:val="20"/>
        </w:rPr>
        <w:t xml:space="preserve"> [</w:t>
      </w:r>
      <w:r w:rsidR="00BF306A">
        <w:rPr>
          <w:rFonts w:ascii="Arial" w:hAnsi="Arial" w:cs="Arial"/>
          <w:sz w:val="20"/>
          <w:szCs w:val="20"/>
        </w:rPr>
        <w:t>4</w:t>
      </w:r>
      <w:r w:rsidR="00F073C3">
        <w:rPr>
          <w:rFonts w:ascii="Arial" w:hAnsi="Arial" w:cs="Arial"/>
          <w:sz w:val="20"/>
          <w:szCs w:val="20"/>
        </w:rPr>
        <w:t xml:space="preserve">] and at least to address the following </w:t>
      </w:r>
      <w:r w:rsidR="00F073C3" w:rsidRPr="00F073C3">
        <w:rPr>
          <w:rFonts w:ascii="Arial" w:hAnsi="Arial" w:cs="Arial"/>
          <w:sz w:val="20"/>
          <w:szCs w:val="20"/>
        </w:rPr>
        <w:t>two issue</w:t>
      </w:r>
      <w:r w:rsidR="00F073C3">
        <w:rPr>
          <w:rFonts w:ascii="Arial" w:hAnsi="Arial" w:cs="Arial"/>
          <w:sz w:val="20"/>
          <w:szCs w:val="20"/>
        </w:rPr>
        <w:t>s:</w:t>
      </w:r>
    </w:p>
    <w:p w14:paraId="710C3DBD" w14:textId="31924B39" w:rsidR="00F073C3" w:rsidRDefault="00F073C3" w:rsidP="00F073C3">
      <w:pPr>
        <w:pStyle w:val="ListParagraph"/>
        <w:numPr>
          <w:ilvl w:val="0"/>
          <w:numId w:val="2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073C3">
        <w:rPr>
          <w:rFonts w:ascii="Arial" w:hAnsi="Arial" w:cs="Arial"/>
          <w:sz w:val="20"/>
          <w:szCs w:val="20"/>
        </w:rPr>
        <w:t>Whether configurations in Case 3 and Case 4 are valid from RAN4 and RAN2 point of view respectively.</w:t>
      </w:r>
    </w:p>
    <w:p w14:paraId="545CA6EB" w14:textId="77777777" w:rsidR="00F073C3" w:rsidRPr="00F073C3" w:rsidRDefault="00F073C3" w:rsidP="00F073C3">
      <w:pPr>
        <w:pStyle w:val="ListParagraph"/>
        <w:spacing w:before="120" w:after="120"/>
        <w:jc w:val="both"/>
        <w:rPr>
          <w:rFonts w:ascii="Arial" w:hAnsi="Arial" w:cs="Arial"/>
          <w:sz w:val="13"/>
          <w:szCs w:val="13"/>
        </w:rPr>
      </w:pPr>
    </w:p>
    <w:p w14:paraId="18CADBF3" w14:textId="3CED1B40" w:rsidR="00F073C3" w:rsidRPr="00F073C3" w:rsidRDefault="00F073C3" w:rsidP="00F073C3">
      <w:pPr>
        <w:pStyle w:val="ListParagraph"/>
        <w:numPr>
          <w:ilvl w:val="0"/>
          <w:numId w:val="26"/>
        </w:numPr>
        <w:spacing w:before="120" w:after="240"/>
        <w:jc w:val="both"/>
        <w:rPr>
          <w:rFonts w:ascii="Arial" w:hAnsi="Arial" w:cs="Arial"/>
          <w:sz w:val="20"/>
          <w:szCs w:val="20"/>
        </w:rPr>
      </w:pPr>
      <w:r w:rsidRPr="00F073C3">
        <w:rPr>
          <w:rFonts w:ascii="Arial" w:hAnsi="Arial" w:cs="Arial"/>
          <w:sz w:val="20"/>
          <w:szCs w:val="20"/>
        </w:rPr>
        <w:t xml:space="preserve">In the case of configuration in Case 3 and/or in case of configuration in Case 4 are(is) confirmed as valid, whether a solution is necessary in RAN2 to address the ambiguity issue for configurations on some intra-band EN-DC band combinations with more than 2 carriers from Rel-15.  </w:t>
      </w:r>
      <w:r w:rsidR="005876FE" w:rsidRPr="00F073C3">
        <w:rPr>
          <w:rFonts w:ascii="Arial" w:hAnsi="Arial" w:cs="Arial"/>
          <w:sz w:val="20"/>
          <w:szCs w:val="20"/>
        </w:rPr>
        <w:t xml:space="preserve"> </w:t>
      </w:r>
    </w:p>
    <w:p w14:paraId="6B7D799D" w14:textId="0543E443" w:rsidR="005644B1" w:rsidRDefault="005644B1" w:rsidP="00F073C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last RAN4 meeting, </w:t>
      </w:r>
      <w:r w:rsidR="00AE1937">
        <w:rPr>
          <w:rFonts w:ascii="Arial" w:hAnsi="Arial" w:cs="Arial"/>
          <w:sz w:val="20"/>
          <w:szCs w:val="20"/>
        </w:rPr>
        <w:t xml:space="preserve">companies </w:t>
      </w:r>
      <w:r>
        <w:rPr>
          <w:rFonts w:ascii="Arial" w:hAnsi="Arial" w:cs="Arial"/>
          <w:sz w:val="20"/>
          <w:szCs w:val="20"/>
        </w:rPr>
        <w:t>had discussed the validity of the Case 3 and Case 4 configurations and concluded that those configurations are specif</w:t>
      </w:r>
      <w:r w:rsidR="00E565E0">
        <w:rPr>
          <w:rFonts w:ascii="Arial" w:hAnsi="Arial" w:cs="Arial"/>
          <w:sz w:val="20"/>
          <w:szCs w:val="20"/>
        </w:rPr>
        <w:t xml:space="preserve">ically desired for CBRS band (B48/n48) </w:t>
      </w:r>
      <w:r w:rsidR="000F3929">
        <w:rPr>
          <w:rFonts w:ascii="Arial" w:hAnsi="Arial" w:cs="Arial"/>
          <w:sz w:val="20"/>
          <w:szCs w:val="20"/>
        </w:rPr>
        <w:t>owing</w:t>
      </w:r>
      <w:r w:rsidR="00E565E0">
        <w:rPr>
          <w:rFonts w:ascii="Arial" w:hAnsi="Arial" w:cs="Arial"/>
          <w:sz w:val="20"/>
          <w:szCs w:val="20"/>
        </w:rPr>
        <w:t xml:space="preserve"> to the dynamic spectrum allocation managed by </w:t>
      </w:r>
      <w:r w:rsidR="000F3929">
        <w:rPr>
          <w:rFonts w:ascii="Arial" w:hAnsi="Arial" w:cs="Arial"/>
          <w:sz w:val="20"/>
          <w:szCs w:val="20"/>
        </w:rPr>
        <w:t>Spectrum Access System (SAS)</w:t>
      </w:r>
      <w:r w:rsidR="00E565E0">
        <w:rPr>
          <w:rFonts w:ascii="Arial" w:hAnsi="Arial" w:cs="Arial"/>
          <w:sz w:val="20"/>
          <w:szCs w:val="20"/>
        </w:rPr>
        <w:t xml:space="preserve">. In the approved “WF </w:t>
      </w:r>
      <w:r w:rsidR="00E565E0" w:rsidRPr="00E565E0">
        <w:rPr>
          <w:rFonts w:ascii="Arial" w:hAnsi="Arial" w:cs="Arial"/>
          <w:sz w:val="20"/>
          <w:szCs w:val="20"/>
        </w:rPr>
        <w:t>on IntrabandENDC-Support</w:t>
      </w:r>
      <w:r w:rsidR="00E565E0">
        <w:rPr>
          <w:rFonts w:ascii="Arial" w:hAnsi="Arial" w:cs="Arial"/>
          <w:sz w:val="20"/>
          <w:szCs w:val="20"/>
        </w:rPr>
        <w:t xml:space="preserve">” [5], it was agreed to retain the Case 3 and Case 4 configurations for B48/n48 </w:t>
      </w:r>
      <w:r w:rsidR="000F3929">
        <w:rPr>
          <w:rFonts w:ascii="Arial" w:hAnsi="Arial" w:cs="Arial"/>
          <w:sz w:val="20"/>
          <w:szCs w:val="20"/>
        </w:rPr>
        <w:t xml:space="preserve">in the current RAN4 specifications </w:t>
      </w:r>
      <w:r w:rsidR="00E565E0">
        <w:rPr>
          <w:rFonts w:ascii="Arial" w:hAnsi="Arial" w:cs="Arial"/>
          <w:sz w:val="20"/>
          <w:szCs w:val="20"/>
        </w:rPr>
        <w:t>while the Case 3 configurations for B41/n41 are to be removed</w:t>
      </w:r>
      <w:r w:rsidR="000F3929">
        <w:rPr>
          <w:rFonts w:ascii="Arial" w:hAnsi="Arial" w:cs="Arial"/>
          <w:sz w:val="20"/>
          <w:szCs w:val="20"/>
        </w:rPr>
        <w:t xml:space="preserve"> due that there is no sufficient justification nor demand for licensed bands to support such configurations as they are not subject to dynamic spectrum allocation. The WF also provided a list of solutions on how UE</w:t>
      </w:r>
      <w:r w:rsidR="00AE1937">
        <w:rPr>
          <w:rFonts w:ascii="Arial" w:hAnsi="Arial" w:cs="Arial"/>
          <w:sz w:val="20"/>
          <w:szCs w:val="20"/>
        </w:rPr>
        <w:t xml:space="preserve"> may indicate its capability to support the Case 3 and Case 4 configurations based on the existing signaling design or the potential new signaling design in Rel-18 if found necessary. </w:t>
      </w:r>
      <w:r w:rsidR="000F3929">
        <w:rPr>
          <w:rFonts w:ascii="Arial" w:hAnsi="Arial" w:cs="Arial"/>
          <w:sz w:val="20"/>
          <w:szCs w:val="20"/>
        </w:rPr>
        <w:t xml:space="preserve">   </w:t>
      </w:r>
      <w:r w:rsidR="00E565E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3551E11" w14:textId="77777777" w:rsidR="005644B1" w:rsidRDefault="005644B1" w:rsidP="000F3929">
      <w:pPr>
        <w:jc w:val="both"/>
        <w:rPr>
          <w:rFonts w:ascii="Arial" w:hAnsi="Arial" w:cs="Arial"/>
          <w:sz w:val="20"/>
          <w:szCs w:val="20"/>
        </w:rPr>
      </w:pPr>
    </w:p>
    <w:p w14:paraId="06E92CC7" w14:textId="39970172" w:rsidR="008E7986" w:rsidRPr="009A1B25" w:rsidRDefault="005876FE" w:rsidP="00F073C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876FE">
        <w:rPr>
          <w:rFonts w:ascii="Arial" w:hAnsi="Arial" w:cs="Arial"/>
          <w:sz w:val="20"/>
          <w:szCs w:val="20"/>
        </w:rPr>
        <w:t>In this contribution, we share our views on</w:t>
      </w:r>
      <w:r w:rsidR="00AE1937">
        <w:rPr>
          <w:rFonts w:ascii="Arial" w:hAnsi="Arial" w:cs="Arial"/>
          <w:sz w:val="20"/>
          <w:szCs w:val="20"/>
        </w:rPr>
        <w:t xml:space="preserve"> how UE capability can be properly indicated to support the Case</w:t>
      </w:r>
      <w:r w:rsidR="007B356D">
        <w:rPr>
          <w:rFonts w:ascii="Arial" w:hAnsi="Arial" w:cs="Arial"/>
          <w:sz w:val="20"/>
          <w:szCs w:val="20"/>
        </w:rPr>
        <w:t xml:space="preserve"> 3 and Case 4 configurations for </w:t>
      </w:r>
      <w:r w:rsidR="007B356D" w:rsidRPr="007B356D">
        <w:rPr>
          <w:rFonts w:ascii="Arial" w:hAnsi="Arial" w:cs="Arial"/>
          <w:sz w:val="20"/>
          <w:szCs w:val="20"/>
        </w:rPr>
        <w:t>B48/n48 intra-band EN-DC based on the existing RAN2 signaling design for intra-band EN-DC.</w:t>
      </w:r>
      <w:r w:rsidR="007B356D">
        <w:rPr>
          <w:rFonts w:ascii="Arial" w:hAnsi="Arial" w:cs="Arial"/>
          <w:sz w:val="20"/>
          <w:szCs w:val="20"/>
        </w:rPr>
        <w:t xml:space="preserve"> We also propose to move </w:t>
      </w:r>
      <w:r w:rsidR="00AA40ED">
        <w:rPr>
          <w:rFonts w:ascii="Arial" w:hAnsi="Arial" w:cs="Arial"/>
          <w:sz w:val="20"/>
          <w:szCs w:val="20"/>
        </w:rPr>
        <w:t xml:space="preserve">the </w:t>
      </w:r>
      <w:r w:rsidR="007B356D">
        <w:rPr>
          <w:rFonts w:ascii="Arial" w:hAnsi="Arial" w:cs="Arial"/>
          <w:sz w:val="20"/>
          <w:szCs w:val="20"/>
        </w:rPr>
        <w:t xml:space="preserve">Case 3 configurations from </w:t>
      </w:r>
      <w:r w:rsidR="00AA40ED" w:rsidRPr="00AA40ED">
        <w:rPr>
          <w:rFonts w:ascii="Arial" w:hAnsi="Arial" w:cs="Arial"/>
          <w:sz w:val="20"/>
          <w:szCs w:val="20"/>
          <w:lang w:val="en-GB"/>
        </w:rPr>
        <w:t>Table 5.3B.1.2-1</w:t>
      </w:r>
      <w:r w:rsidR="00AA40ED">
        <w:rPr>
          <w:rFonts w:ascii="Arial" w:hAnsi="Arial" w:cs="Arial"/>
          <w:sz w:val="20"/>
          <w:szCs w:val="20"/>
          <w:lang w:val="en-GB"/>
        </w:rPr>
        <w:t xml:space="preserve"> to </w:t>
      </w:r>
      <w:r w:rsidR="00AA40ED" w:rsidRPr="00AA40ED">
        <w:rPr>
          <w:rFonts w:ascii="Arial" w:hAnsi="Arial" w:cs="Arial"/>
          <w:sz w:val="20"/>
          <w:szCs w:val="20"/>
          <w:lang w:val="en-GB"/>
        </w:rPr>
        <w:t>Table 5.3B.1.3-2</w:t>
      </w:r>
      <w:r w:rsidR="00AA40ED">
        <w:rPr>
          <w:rFonts w:ascii="Arial" w:hAnsi="Arial" w:cs="Arial"/>
          <w:sz w:val="20"/>
          <w:szCs w:val="20"/>
          <w:lang w:val="en-GB"/>
        </w:rPr>
        <w:t xml:space="preserve"> and from </w:t>
      </w:r>
      <w:r w:rsidR="00AA40ED" w:rsidRPr="00AA40ED">
        <w:rPr>
          <w:rFonts w:ascii="Arial" w:hAnsi="Arial" w:cs="Arial"/>
          <w:sz w:val="20"/>
          <w:szCs w:val="20"/>
          <w:lang w:val="en-GB"/>
        </w:rPr>
        <w:t>Table 5.5B.2-1</w:t>
      </w:r>
      <w:r w:rsidR="00AA40ED">
        <w:rPr>
          <w:rFonts w:ascii="Arial" w:hAnsi="Arial" w:cs="Arial"/>
          <w:sz w:val="20"/>
          <w:szCs w:val="20"/>
          <w:lang w:val="en-GB"/>
        </w:rPr>
        <w:t xml:space="preserve"> to </w:t>
      </w:r>
      <w:r w:rsidR="00AA40ED" w:rsidRPr="00AA40ED">
        <w:rPr>
          <w:rFonts w:ascii="Arial" w:hAnsi="Arial" w:cs="Arial"/>
          <w:sz w:val="20"/>
          <w:szCs w:val="20"/>
          <w:lang w:val="en-GB"/>
        </w:rPr>
        <w:t>Table 5.5B.3-2</w:t>
      </w:r>
      <w:r w:rsidR="00AA40ED">
        <w:rPr>
          <w:rFonts w:ascii="Arial" w:hAnsi="Arial" w:cs="Arial"/>
          <w:sz w:val="20"/>
          <w:szCs w:val="20"/>
          <w:lang w:val="en-GB"/>
        </w:rPr>
        <w:t xml:space="preserve"> in TS 38.101-3 to </w:t>
      </w:r>
      <w:r w:rsidR="00EA4D3E">
        <w:rPr>
          <w:rFonts w:ascii="Arial" w:hAnsi="Arial" w:cs="Arial"/>
          <w:sz w:val="20"/>
          <w:szCs w:val="20"/>
          <w:lang w:val="en-GB"/>
        </w:rPr>
        <w:t>remove the remaining</w:t>
      </w:r>
      <w:r w:rsidR="00AA40ED">
        <w:rPr>
          <w:rFonts w:ascii="Arial" w:hAnsi="Arial" w:cs="Arial"/>
          <w:sz w:val="20"/>
          <w:szCs w:val="20"/>
          <w:lang w:val="en-GB"/>
        </w:rPr>
        <w:t xml:space="preserve"> ambiguity in RAN4 specifications</w:t>
      </w:r>
      <w:r w:rsidR="002C0334">
        <w:rPr>
          <w:rFonts w:ascii="Arial" w:hAnsi="Arial" w:cs="Arial"/>
          <w:sz w:val="20"/>
          <w:szCs w:val="20"/>
          <w:lang w:val="en-GB"/>
        </w:rPr>
        <w:t xml:space="preserve">. </w:t>
      </w:r>
      <w:r w:rsidR="00AA40ED">
        <w:rPr>
          <w:rFonts w:ascii="Arial" w:hAnsi="Arial" w:cs="Arial"/>
          <w:sz w:val="20"/>
          <w:szCs w:val="20"/>
        </w:rPr>
        <w:t xml:space="preserve"> </w:t>
      </w:r>
      <w:r w:rsidR="007B356D">
        <w:rPr>
          <w:rFonts w:ascii="Arial" w:hAnsi="Arial" w:cs="Arial"/>
          <w:sz w:val="20"/>
          <w:szCs w:val="20"/>
        </w:rPr>
        <w:t xml:space="preserve">  </w:t>
      </w:r>
      <w:r w:rsidR="00AE1937">
        <w:rPr>
          <w:rFonts w:ascii="Arial" w:hAnsi="Arial" w:cs="Arial"/>
          <w:sz w:val="20"/>
          <w:szCs w:val="20"/>
        </w:rPr>
        <w:t xml:space="preserve">     </w:t>
      </w:r>
      <w:r w:rsidR="00F073C3">
        <w:rPr>
          <w:rFonts w:ascii="Arial" w:hAnsi="Arial" w:cs="Arial"/>
          <w:sz w:val="20"/>
          <w:szCs w:val="20"/>
        </w:rPr>
        <w:t xml:space="preserve">   </w:t>
      </w:r>
      <w:r w:rsidR="00954A0C">
        <w:rPr>
          <w:rFonts w:ascii="Arial" w:hAnsi="Arial" w:cs="Arial"/>
          <w:sz w:val="20"/>
          <w:szCs w:val="20"/>
        </w:rPr>
        <w:t xml:space="preserve"> </w:t>
      </w:r>
      <w:r w:rsidR="00506C9D">
        <w:rPr>
          <w:rFonts w:ascii="Arial" w:hAnsi="Arial" w:cs="Arial"/>
          <w:sz w:val="20"/>
          <w:szCs w:val="20"/>
        </w:rPr>
        <w:t xml:space="preserve">  </w:t>
      </w:r>
      <w:r w:rsidR="00FE14B1">
        <w:rPr>
          <w:rFonts w:ascii="Arial" w:hAnsi="Arial" w:cs="Arial"/>
          <w:sz w:val="20"/>
          <w:szCs w:val="20"/>
        </w:rPr>
        <w:t xml:space="preserve">      </w:t>
      </w:r>
      <w:r w:rsidR="00D97CE6">
        <w:rPr>
          <w:rFonts w:ascii="Arial" w:hAnsi="Arial" w:cs="Arial"/>
          <w:sz w:val="20"/>
          <w:szCs w:val="20"/>
        </w:rPr>
        <w:t xml:space="preserve">   </w:t>
      </w:r>
      <w:r w:rsidR="007F221E">
        <w:rPr>
          <w:rFonts w:ascii="Arial" w:hAnsi="Arial" w:cs="Arial"/>
          <w:sz w:val="20"/>
          <w:szCs w:val="20"/>
        </w:rPr>
        <w:t xml:space="preserve">  </w:t>
      </w:r>
      <w:r w:rsidR="00FD6763">
        <w:rPr>
          <w:rFonts w:ascii="Arial" w:hAnsi="Arial" w:cs="Arial"/>
          <w:sz w:val="20"/>
          <w:szCs w:val="20"/>
        </w:rPr>
        <w:t xml:space="preserve"> </w:t>
      </w:r>
      <w:r w:rsidR="00035A90">
        <w:rPr>
          <w:rFonts w:ascii="Arial" w:hAnsi="Arial" w:cs="Arial"/>
          <w:sz w:val="20"/>
          <w:szCs w:val="20"/>
        </w:rPr>
        <w:t xml:space="preserve"> </w:t>
      </w:r>
      <w:r w:rsidR="00A14182">
        <w:rPr>
          <w:rFonts w:ascii="Arial" w:hAnsi="Arial" w:cs="Arial"/>
          <w:sz w:val="20"/>
          <w:szCs w:val="20"/>
          <w:lang w:val="en-GB"/>
        </w:rPr>
        <w:t xml:space="preserve">  </w:t>
      </w:r>
      <w:r w:rsidR="00531036">
        <w:rPr>
          <w:rFonts w:ascii="Arial" w:hAnsi="Arial" w:cs="Arial"/>
          <w:sz w:val="20"/>
          <w:szCs w:val="20"/>
          <w:lang w:val="en-GB"/>
        </w:rPr>
        <w:t xml:space="preserve"> </w:t>
      </w:r>
      <w:r w:rsidR="005C43AC">
        <w:rPr>
          <w:rFonts w:ascii="Arial" w:hAnsi="Arial" w:cs="Arial"/>
          <w:sz w:val="20"/>
          <w:szCs w:val="20"/>
          <w:lang w:val="en-GB"/>
        </w:rPr>
        <w:t xml:space="preserve"> </w:t>
      </w:r>
      <w:r w:rsidR="00A02BA9">
        <w:rPr>
          <w:rFonts w:ascii="Arial" w:hAnsi="Arial" w:cs="Arial"/>
          <w:sz w:val="20"/>
          <w:szCs w:val="20"/>
        </w:rPr>
        <w:t xml:space="preserve">  </w:t>
      </w:r>
      <w:r w:rsidR="00C331E9">
        <w:rPr>
          <w:rFonts w:ascii="Arial" w:hAnsi="Arial" w:cs="Arial"/>
          <w:sz w:val="20"/>
          <w:szCs w:val="20"/>
        </w:rPr>
        <w:t xml:space="preserve"> </w:t>
      </w:r>
      <w:r w:rsidR="0039506D" w:rsidRPr="00A0194F">
        <w:rPr>
          <w:rFonts w:ascii="Arial" w:hAnsi="Arial" w:cs="Arial"/>
          <w:iCs/>
          <w:sz w:val="20"/>
          <w:szCs w:val="20"/>
        </w:rPr>
        <w:t xml:space="preserve">    </w:t>
      </w:r>
      <w:r w:rsidR="00F90B00" w:rsidRPr="00A0194F">
        <w:rPr>
          <w:rFonts w:ascii="Arial" w:hAnsi="Arial" w:cs="Arial"/>
          <w:iCs/>
          <w:sz w:val="20"/>
          <w:szCs w:val="20"/>
        </w:rPr>
        <w:t xml:space="preserve"> 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4482EA6D" w14:textId="77777777" w:rsidR="001815E8" w:rsidRPr="001815E8" w:rsidRDefault="001815E8" w:rsidP="00F073C3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2DB22F06" w14:textId="77777777" w:rsidR="00F073C3" w:rsidRDefault="00F073C3" w:rsidP="00F073C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Table 2-1 lists all the concerned Case 3 configurations recaptured from TS 38.101-3 Table </w:t>
      </w:r>
      <w:r w:rsidRPr="00F073C3">
        <w:rPr>
          <w:rFonts w:ascii="Arial" w:hAnsi="Arial" w:cs="Arial"/>
          <w:bCs/>
          <w:sz w:val="20"/>
          <w:szCs w:val="20"/>
        </w:rPr>
        <w:t>5.5B.2-1</w:t>
      </w:r>
      <w:r>
        <w:rPr>
          <w:rFonts w:ascii="Arial" w:hAnsi="Arial" w:cs="Arial"/>
          <w:bCs/>
          <w:sz w:val="20"/>
          <w:szCs w:val="20"/>
        </w:rPr>
        <w:t xml:space="preserve"> for intra-band contiguous EN-DC and Table 2-2 lists the only two concerned Case 4 configurations in TS 38.101-3 Table </w:t>
      </w:r>
      <w:r w:rsidRPr="00F073C3">
        <w:rPr>
          <w:rFonts w:ascii="Arial" w:hAnsi="Arial" w:cs="Arial"/>
          <w:bCs/>
          <w:sz w:val="20"/>
          <w:szCs w:val="20"/>
        </w:rPr>
        <w:t>5.5B.</w:t>
      </w:r>
      <w:r>
        <w:rPr>
          <w:rFonts w:ascii="Arial" w:hAnsi="Arial" w:cs="Arial"/>
          <w:bCs/>
          <w:sz w:val="20"/>
          <w:szCs w:val="20"/>
        </w:rPr>
        <w:t>3</w:t>
      </w:r>
      <w:r w:rsidRPr="00F073C3">
        <w:rPr>
          <w:rFonts w:ascii="Arial" w:hAnsi="Arial" w:cs="Arial"/>
          <w:bCs/>
          <w:sz w:val="20"/>
          <w:szCs w:val="20"/>
        </w:rPr>
        <w:t>-1</w:t>
      </w:r>
      <w:r>
        <w:rPr>
          <w:rFonts w:ascii="Arial" w:hAnsi="Arial" w:cs="Arial"/>
          <w:bCs/>
          <w:sz w:val="20"/>
          <w:szCs w:val="20"/>
        </w:rPr>
        <w:t xml:space="preserve"> for intra-band non-contiguous EN-DC.</w:t>
      </w:r>
    </w:p>
    <w:p w14:paraId="3782BE99" w14:textId="22E5D255" w:rsidR="0088727A" w:rsidRDefault="00F073C3" w:rsidP="00F073C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88727A">
        <w:rPr>
          <w:rFonts w:ascii="Arial" w:hAnsi="Arial" w:cs="Arial"/>
          <w:bCs/>
          <w:sz w:val="20"/>
          <w:szCs w:val="20"/>
        </w:rPr>
        <w:t xml:space="preserve">  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4"/>
        <w:gridCol w:w="1886"/>
      </w:tblGrid>
      <w:tr w:rsidR="00F073C3" w:rsidRPr="00B56A4D" w14:paraId="6312D91F" w14:textId="77777777" w:rsidTr="009720FA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62F6348B" w14:textId="77777777" w:rsidR="00F073C3" w:rsidRPr="00B56A4D" w:rsidRDefault="00F073C3" w:rsidP="009720FA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lastRenderedPageBreak/>
              <w:t>EN-DC</w:t>
            </w:r>
          </w:p>
          <w:p w14:paraId="1A4A98EE" w14:textId="77777777" w:rsidR="00F073C3" w:rsidRPr="00B56A4D" w:rsidRDefault="00F073C3" w:rsidP="009720FA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configuration</w:t>
            </w:r>
          </w:p>
        </w:tc>
        <w:tc>
          <w:tcPr>
            <w:tcW w:w="2841" w:type="pct"/>
          </w:tcPr>
          <w:p w14:paraId="3AD9B389" w14:textId="77777777" w:rsidR="00F073C3" w:rsidRPr="00B56A4D" w:rsidRDefault="00F073C3" w:rsidP="009720FA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Uplink EN-DC</w:t>
            </w:r>
          </w:p>
          <w:p w14:paraId="4CC956C6" w14:textId="77777777" w:rsidR="00F073C3" w:rsidRPr="00B56A4D" w:rsidRDefault="00F073C3" w:rsidP="009720FA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configuration</w:t>
            </w:r>
          </w:p>
        </w:tc>
      </w:tr>
      <w:tr w:rsidR="00F073C3" w:rsidRPr="00B56A4D" w14:paraId="0C3E5AB9" w14:textId="77777777" w:rsidTr="009720FA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65206961" w14:textId="77777777" w:rsidR="00F073C3" w:rsidRPr="00B56A4D" w:rsidRDefault="00F073C3" w:rsidP="009720FA">
            <w:pPr>
              <w:pStyle w:val="TAC"/>
              <w:rPr>
                <w:vertAlign w:val="superscript"/>
                <w:lang w:val="de-DE"/>
              </w:rPr>
            </w:pPr>
            <w:r w:rsidRPr="00B56A4D">
              <w:rPr>
                <w:lang w:val="de-DE" w:eastAsia="fi-FI"/>
              </w:rPr>
              <w:t>DC_(n)41A</w:t>
            </w:r>
            <w:r w:rsidRPr="00B56A4D">
              <w:rPr>
                <w:lang w:val="de-DE" w:eastAsia="zh-CN"/>
              </w:rPr>
              <w:t>B</w:t>
            </w:r>
          </w:p>
          <w:p w14:paraId="27779664" w14:textId="77777777" w:rsidR="00F073C3" w:rsidRPr="00B56A4D" w:rsidRDefault="00F073C3" w:rsidP="009720FA">
            <w:pPr>
              <w:pStyle w:val="TAC"/>
              <w:rPr>
                <w:lang w:val="de-DE" w:eastAsia="fi-FI"/>
              </w:rPr>
            </w:pPr>
            <w:r w:rsidRPr="00B56A4D">
              <w:rPr>
                <w:lang w:val="de-DE" w:eastAsia="fi-FI"/>
              </w:rPr>
              <w:t>DC_(n)41CA</w:t>
            </w:r>
          </w:p>
          <w:p w14:paraId="31D1403D" w14:textId="77777777" w:rsidR="00F073C3" w:rsidRPr="00B56A4D" w:rsidRDefault="00F073C3" w:rsidP="009720FA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DC_(n)41DA</w:t>
            </w:r>
          </w:p>
        </w:tc>
        <w:tc>
          <w:tcPr>
            <w:tcW w:w="2841" w:type="pct"/>
            <w:vAlign w:val="center"/>
          </w:tcPr>
          <w:p w14:paraId="439A29B2" w14:textId="77777777" w:rsidR="00F073C3" w:rsidRPr="00B56A4D" w:rsidRDefault="00F073C3" w:rsidP="009720FA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DC_41A_n41A</w:t>
            </w:r>
          </w:p>
        </w:tc>
      </w:tr>
      <w:tr w:rsidR="00F073C3" w:rsidRPr="00B56A4D" w14:paraId="1BEEEFB4" w14:textId="77777777" w:rsidTr="009720FA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4F2B2281" w14:textId="77777777" w:rsidR="00F073C3" w:rsidRPr="00B56A4D" w:rsidRDefault="00F073C3" w:rsidP="009720FA">
            <w:pPr>
              <w:pStyle w:val="TAC"/>
            </w:pPr>
            <w:r w:rsidRPr="00B56A4D">
              <w:rPr>
                <w:rFonts w:cs="Arial"/>
                <w:lang w:eastAsia="zh-CN"/>
              </w:rPr>
              <w:t>DC_(n)48CA</w:t>
            </w:r>
          </w:p>
        </w:tc>
        <w:tc>
          <w:tcPr>
            <w:tcW w:w="2841" w:type="pct"/>
          </w:tcPr>
          <w:p w14:paraId="44D78AA7" w14:textId="77777777" w:rsidR="00F073C3" w:rsidRPr="00B56A4D" w:rsidRDefault="00F073C3" w:rsidP="009720FA">
            <w:pPr>
              <w:pStyle w:val="TAC"/>
            </w:pPr>
            <w:r w:rsidRPr="00B56A4D">
              <w:rPr>
                <w:rFonts w:eastAsia="PMingLiU" w:cs="Arial"/>
              </w:rPr>
              <w:t>DC_</w:t>
            </w:r>
            <w:r w:rsidRPr="00B56A4D">
              <w:rPr>
                <w:rFonts w:cs="Arial"/>
                <w:lang w:eastAsia="zh-CN"/>
              </w:rPr>
              <w:t>48A_n48A</w:t>
            </w:r>
          </w:p>
        </w:tc>
      </w:tr>
      <w:tr w:rsidR="00F073C3" w:rsidRPr="00B56A4D" w14:paraId="09213540" w14:textId="77777777" w:rsidTr="009720FA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14:paraId="386E875C" w14:textId="77777777" w:rsidR="00F073C3" w:rsidRPr="00B56A4D" w:rsidRDefault="00F073C3" w:rsidP="009720FA">
            <w:pPr>
              <w:pStyle w:val="TAC"/>
            </w:pPr>
            <w:r w:rsidRPr="00B56A4D">
              <w:rPr>
                <w:rFonts w:cs="Arial"/>
                <w:lang w:eastAsia="zh-CN"/>
              </w:rPr>
              <w:t>DC_(n)48DA</w:t>
            </w:r>
          </w:p>
        </w:tc>
        <w:tc>
          <w:tcPr>
            <w:tcW w:w="2841" w:type="pct"/>
          </w:tcPr>
          <w:p w14:paraId="034BAC64" w14:textId="77777777" w:rsidR="00F073C3" w:rsidRPr="00B56A4D" w:rsidRDefault="00F073C3" w:rsidP="009720FA">
            <w:pPr>
              <w:pStyle w:val="TAC"/>
            </w:pPr>
            <w:r w:rsidRPr="00B56A4D">
              <w:rPr>
                <w:rFonts w:eastAsia="PMingLiU" w:cs="Arial"/>
              </w:rPr>
              <w:t>DC_</w:t>
            </w:r>
            <w:r w:rsidRPr="00B56A4D">
              <w:rPr>
                <w:rFonts w:cs="Arial"/>
                <w:lang w:eastAsia="zh-CN"/>
              </w:rPr>
              <w:t>48A_n48A</w:t>
            </w:r>
          </w:p>
        </w:tc>
      </w:tr>
    </w:tbl>
    <w:p w14:paraId="63B731E5" w14:textId="77777777" w:rsidR="00F073C3" w:rsidRDefault="00F073C3" w:rsidP="00F073C3">
      <w:pPr>
        <w:jc w:val="center"/>
        <w:rPr>
          <w:rFonts w:ascii="Arial" w:hAnsi="Arial" w:cs="Arial"/>
          <w:sz w:val="20"/>
          <w:szCs w:val="20"/>
        </w:rPr>
      </w:pPr>
    </w:p>
    <w:p w14:paraId="40DFE09A" w14:textId="69348B4D" w:rsidR="00F073C3" w:rsidRDefault="00F073C3" w:rsidP="00F073C3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="0075000F">
        <w:rPr>
          <w:rFonts w:ascii="Arial" w:hAnsi="Arial" w:cs="Arial"/>
          <w:b/>
          <w:sz w:val="20"/>
          <w:szCs w:val="20"/>
        </w:rPr>
        <w:t xml:space="preserve"> </w:t>
      </w:r>
      <w:r w:rsidR="0075000F" w:rsidRPr="002D405E">
        <w:rPr>
          <w:rFonts w:ascii="Arial" w:hAnsi="Arial" w:cs="Arial"/>
          <w:b/>
          <w:sz w:val="20"/>
          <w:szCs w:val="20"/>
        </w:rPr>
        <w:t>2-</w:t>
      </w:r>
      <w:r w:rsidR="00205934">
        <w:rPr>
          <w:rFonts w:ascii="Arial" w:hAnsi="Arial" w:cs="Arial"/>
          <w:b/>
          <w:sz w:val="20"/>
          <w:szCs w:val="20"/>
        </w:rPr>
        <w:t>1</w:t>
      </w:r>
      <w:r w:rsidR="0075000F" w:rsidRPr="002D405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Case 3 EN-DC configurations</w:t>
      </w:r>
    </w:p>
    <w:p w14:paraId="1FD0E9EF" w14:textId="77777777" w:rsidR="00F073C3" w:rsidRDefault="00F073C3" w:rsidP="00F073C3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3"/>
        <w:gridCol w:w="1737"/>
      </w:tblGrid>
      <w:tr w:rsidR="00F073C3" w:rsidRPr="00B56A4D" w14:paraId="413ABF09" w14:textId="77777777" w:rsidTr="009720FA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</w:tcPr>
          <w:p w14:paraId="198733A5" w14:textId="77777777" w:rsidR="00F073C3" w:rsidRPr="00B56A4D" w:rsidRDefault="00F073C3" w:rsidP="009720FA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EN-DC</w:t>
            </w:r>
          </w:p>
          <w:p w14:paraId="72D4F65D" w14:textId="77777777" w:rsidR="00F073C3" w:rsidRPr="00B56A4D" w:rsidRDefault="00F073C3" w:rsidP="009720FA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configuration</w:t>
            </w:r>
          </w:p>
        </w:tc>
        <w:tc>
          <w:tcPr>
            <w:tcW w:w="2616" w:type="pct"/>
          </w:tcPr>
          <w:p w14:paraId="6EFC3B2E" w14:textId="77777777" w:rsidR="00F073C3" w:rsidRPr="00B56A4D" w:rsidRDefault="00F073C3" w:rsidP="009720FA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Uplink EN-DC</w:t>
            </w:r>
          </w:p>
          <w:p w14:paraId="5D77350B" w14:textId="77777777" w:rsidR="00F073C3" w:rsidRPr="00B56A4D" w:rsidRDefault="00F073C3" w:rsidP="009720FA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configuration</w:t>
            </w:r>
          </w:p>
        </w:tc>
      </w:tr>
      <w:tr w:rsidR="00F073C3" w:rsidRPr="00B56A4D" w14:paraId="7B8DA68D" w14:textId="77777777" w:rsidTr="009720FA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  <w:vAlign w:val="center"/>
          </w:tcPr>
          <w:p w14:paraId="05BFA686" w14:textId="77777777" w:rsidR="00F073C3" w:rsidRPr="00B56A4D" w:rsidRDefault="00F073C3" w:rsidP="009720FA">
            <w:pPr>
              <w:pStyle w:val="TAC"/>
              <w:rPr>
                <w:rFonts w:eastAsia="PMingLiU"/>
                <w:vertAlign w:val="superscript"/>
                <w:lang w:val="de-DE"/>
              </w:rPr>
            </w:pPr>
            <w:r w:rsidRPr="00B56A4D">
              <w:rPr>
                <w:lang w:val="de-DE" w:eastAsia="fi-FI"/>
              </w:rPr>
              <w:t>DC_48A_(n)48A</w:t>
            </w:r>
            <w:r w:rsidRPr="00B56A4D">
              <w:rPr>
                <w:lang w:val="de-DE" w:eastAsia="zh-CN"/>
              </w:rPr>
              <w:t>A</w:t>
            </w:r>
          </w:p>
        </w:tc>
        <w:tc>
          <w:tcPr>
            <w:tcW w:w="2616" w:type="pct"/>
          </w:tcPr>
          <w:p w14:paraId="24640586" w14:textId="77777777" w:rsidR="00F073C3" w:rsidRPr="00B56A4D" w:rsidRDefault="00F073C3" w:rsidP="009720FA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DC_(n)48AA</w:t>
            </w:r>
          </w:p>
          <w:p w14:paraId="2C34AAEA" w14:textId="77777777" w:rsidR="00F073C3" w:rsidRPr="00B56A4D" w:rsidRDefault="00F073C3" w:rsidP="009720FA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DC_48A_n48A</w:t>
            </w:r>
          </w:p>
        </w:tc>
      </w:tr>
    </w:tbl>
    <w:p w14:paraId="24BAE7A0" w14:textId="2A621117" w:rsidR="00F073C3" w:rsidRDefault="00F073C3" w:rsidP="00F073C3">
      <w:pPr>
        <w:jc w:val="center"/>
        <w:rPr>
          <w:rFonts w:ascii="Arial" w:hAnsi="Arial" w:cs="Arial"/>
          <w:b/>
          <w:sz w:val="20"/>
          <w:szCs w:val="20"/>
        </w:rPr>
      </w:pPr>
    </w:p>
    <w:p w14:paraId="35A0DE2F" w14:textId="7DB45FDA" w:rsidR="00F073C3" w:rsidRDefault="00F073C3" w:rsidP="00F073C3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Table </w:t>
      </w:r>
      <w:r w:rsidRPr="002D405E">
        <w:rPr>
          <w:rFonts w:ascii="Arial" w:hAnsi="Arial" w:cs="Arial"/>
          <w:b/>
          <w:sz w:val="20"/>
          <w:szCs w:val="20"/>
        </w:rPr>
        <w:t>2-</w:t>
      </w:r>
      <w:r>
        <w:rPr>
          <w:rFonts w:ascii="Arial" w:hAnsi="Arial" w:cs="Arial"/>
          <w:b/>
          <w:sz w:val="20"/>
          <w:szCs w:val="20"/>
        </w:rPr>
        <w:t>2</w:t>
      </w:r>
      <w:r w:rsidRPr="002D405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Case 4 EN-DC configurations</w:t>
      </w:r>
    </w:p>
    <w:p w14:paraId="0F366A83" w14:textId="7527EBAA" w:rsidR="00F073C3" w:rsidRDefault="00F073C3" w:rsidP="00F073C3">
      <w:pPr>
        <w:jc w:val="both"/>
        <w:rPr>
          <w:rFonts w:ascii="Arial" w:hAnsi="Arial" w:cs="Arial"/>
          <w:b/>
          <w:sz w:val="20"/>
          <w:szCs w:val="20"/>
        </w:rPr>
      </w:pPr>
    </w:p>
    <w:p w14:paraId="2974901D" w14:textId="043E0110" w:rsidR="002C0334" w:rsidRPr="00B20B85" w:rsidRDefault="002C0334" w:rsidP="00B20B8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To our understanding, the motivation behind the desire for the Case 3 and Case 4 configurations is to </w:t>
      </w:r>
      <w:r w:rsidR="0013501D">
        <w:rPr>
          <w:rFonts w:ascii="Arial" w:hAnsi="Arial" w:cs="Arial"/>
          <w:bCs/>
          <w:sz w:val="20"/>
          <w:szCs w:val="20"/>
        </w:rPr>
        <w:t>enable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13501D">
        <w:rPr>
          <w:rFonts w:ascii="Arial" w:hAnsi="Arial" w:cs="Arial"/>
          <w:bCs/>
          <w:sz w:val="20"/>
          <w:szCs w:val="20"/>
        </w:rPr>
        <w:t xml:space="preserve">a </w:t>
      </w:r>
      <w:r>
        <w:rPr>
          <w:rFonts w:ascii="Arial" w:hAnsi="Arial" w:cs="Arial"/>
          <w:bCs/>
          <w:sz w:val="20"/>
          <w:szCs w:val="20"/>
        </w:rPr>
        <w:t xml:space="preserve">more efficient utilization of </w:t>
      </w:r>
      <w:r w:rsidR="0013501D">
        <w:rPr>
          <w:rFonts w:ascii="Arial" w:hAnsi="Arial" w:cs="Arial"/>
          <w:bCs/>
          <w:sz w:val="20"/>
          <w:szCs w:val="20"/>
        </w:rPr>
        <w:t>the dynamically accessible spectrum in CBRS band.</w:t>
      </w:r>
      <w:r w:rsidR="00D5479E">
        <w:rPr>
          <w:rFonts w:ascii="Arial" w:hAnsi="Arial" w:cs="Arial"/>
          <w:bCs/>
          <w:sz w:val="20"/>
          <w:szCs w:val="20"/>
        </w:rPr>
        <w:t xml:space="preserve"> The support of the Case 3 and Case 4 configurations would only make sense when the lower order configuration DC_48A_n48A is also supported by the UE. Otherwise, when the middle spectrum adjacent to the NR carrier became inaccessible, the</w:t>
      </w:r>
      <w:r w:rsidR="00B20B85">
        <w:rPr>
          <w:rFonts w:ascii="Arial" w:hAnsi="Arial" w:cs="Arial"/>
          <w:bCs/>
          <w:sz w:val="20"/>
          <w:szCs w:val="20"/>
        </w:rPr>
        <w:t xml:space="preserve"> EN-DC operation would be ceased. Under such circumstance, it is better to only configure the UE with contiguous UL as it is more efficient from the MPR/A-MPR point of view.</w:t>
      </w:r>
      <w:r w:rsidR="00D5479E">
        <w:rPr>
          <w:rFonts w:ascii="Arial" w:hAnsi="Arial" w:cs="Arial"/>
          <w:bCs/>
          <w:sz w:val="20"/>
          <w:szCs w:val="20"/>
        </w:rPr>
        <w:t xml:space="preserve">  </w:t>
      </w:r>
      <w:r w:rsidR="0013501D">
        <w:rPr>
          <w:rFonts w:ascii="Arial" w:hAnsi="Arial" w:cs="Arial"/>
          <w:bCs/>
          <w:sz w:val="20"/>
          <w:szCs w:val="20"/>
        </w:rPr>
        <w:t xml:space="preserve">   </w:t>
      </w:r>
      <w:r>
        <w:rPr>
          <w:rFonts w:ascii="Arial" w:hAnsi="Arial" w:cs="Arial"/>
          <w:bCs/>
          <w:sz w:val="20"/>
          <w:szCs w:val="20"/>
        </w:rPr>
        <w:t xml:space="preserve">    </w:t>
      </w:r>
    </w:p>
    <w:p w14:paraId="637941B7" w14:textId="77777777" w:rsidR="002C0334" w:rsidRDefault="002C0334" w:rsidP="00F073C3">
      <w:pPr>
        <w:jc w:val="both"/>
        <w:rPr>
          <w:rFonts w:ascii="Arial" w:hAnsi="Arial" w:cs="Arial"/>
          <w:b/>
          <w:sz w:val="20"/>
          <w:szCs w:val="20"/>
        </w:rPr>
      </w:pPr>
    </w:p>
    <w:p w14:paraId="55B755FE" w14:textId="68343E99" w:rsidR="00F073C3" w:rsidRDefault="00F073C3" w:rsidP="00F073C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Observation 1</w:t>
      </w:r>
      <w:r w:rsidRPr="00A0194F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B20B85">
        <w:rPr>
          <w:rFonts w:ascii="Arial" w:hAnsi="Arial" w:cs="Arial"/>
          <w:bCs/>
          <w:i/>
          <w:iCs/>
          <w:sz w:val="20"/>
          <w:szCs w:val="20"/>
        </w:rPr>
        <w:t>T</w:t>
      </w:r>
      <w:r w:rsidR="00B20B85" w:rsidRPr="00B20B85">
        <w:rPr>
          <w:rFonts w:ascii="Arial" w:hAnsi="Arial" w:cs="Arial"/>
          <w:bCs/>
          <w:i/>
          <w:iCs/>
          <w:sz w:val="20"/>
          <w:szCs w:val="20"/>
        </w:rPr>
        <w:t>he motivation behind the desire for the Case 3 and Case 4 configurations is to enable a more efficient utilization of the dynamically accessible spectrum in CBRS band.</w:t>
      </w:r>
    </w:p>
    <w:p w14:paraId="1CCB2B8A" w14:textId="77777777" w:rsidR="00F073C3" w:rsidRDefault="00F073C3" w:rsidP="00F073C3">
      <w:pPr>
        <w:jc w:val="both"/>
        <w:rPr>
          <w:rFonts w:ascii="Arial" w:hAnsi="Arial" w:cs="Arial"/>
          <w:bCs/>
          <w:sz w:val="20"/>
          <w:szCs w:val="20"/>
        </w:rPr>
      </w:pPr>
    </w:p>
    <w:p w14:paraId="599BD23B" w14:textId="5390C0EC" w:rsidR="00F073C3" w:rsidRDefault="00F073C3" w:rsidP="00F073C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Observation 2</w:t>
      </w:r>
      <w:r w:rsidRPr="00A0194F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B20B85" w:rsidRPr="00B20B85">
        <w:rPr>
          <w:rFonts w:ascii="Arial" w:hAnsi="Arial" w:cs="Arial"/>
          <w:bCs/>
          <w:i/>
          <w:iCs/>
          <w:sz w:val="20"/>
          <w:szCs w:val="20"/>
        </w:rPr>
        <w:t>The support of the Case 3 and Case 4 configurations would only make sense when the lower order configuration DC_48A_n48A is also supported by the UE.</w:t>
      </w:r>
    </w:p>
    <w:p w14:paraId="12C897A7" w14:textId="77777777" w:rsidR="00F073C3" w:rsidRDefault="00F073C3" w:rsidP="00F073C3">
      <w:pPr>
        <w:jc w:val="both"/>
        <w:rPr>
          <w:rFonts w:ascii="Arial" w:hAnsi="Arial" w:cs="Arial"/>
          <w:bCs/>
          <w:sz w:val="20"/>
          <w:szCs w:val="20"/>
        </w:rPr>
      </w:pPr>
    </w:p>
    <w:p w14:paraId="2BBE97B7" w14:textId="4ECEEF7B" w:rsidR="00B20B85" w:rsidRDefault="00B20B85" w:rsidP="00F073C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On the signaling side, there are two potential solutions for UE to indicate its capability in supporting the Case 3 and Case 4 configurations</w:t>
      </w:r>
      <w:r w:rsidR="005147FF">
        <w:rPr>
          <w:rFonts w:ascii="Arial" w:hAnsi="Arial" w:cs="Arial"/>
          <w:bCs/>
          <w:sz w:val="20"/>
          <w:szCs w:val="20"/>
        </w:rPr>
        <w:t xml:space="preserve"> based on the existing RAN2 signaling design for intra-band EN-DC</w:t>
      </w:r>
      <w:r w:rsidR="008C5949">
        <w:rPr>
          <w:rFonts w:ascii="Arial" w:hAnsi="Arial" w:cs="Arial"/>
          <w:bCs/>
          <w:sz w:val="20"/>
          <w:szCs w:val="20"/>
        </w:rPr>
        <w:t>, as summarized in Table 2-3 and Table 2-4 respectively.</w:t>
      </w:r>
    </w:p>
    <w:p w14:paraId="5B3BB299" w14:textId="1C3F7758" w:rsidR="008C5949" w:rsidRDefault="008C5949" w:rsidP="0027117B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8"/>
        <w:gridCol w:w="1408"/>
        <w:gridCol w:w="1408"/>
        <w:gridCol w:w="1408"/>
        <w:gridCol w:w="1408"/>
        <w:gridCol w:w="2248"/>
      </w:tblGrid>
      <w:tr w:rsidR="000736FD" w:rsidRPr="0027117B" w14:paraId="77E996CE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3860E2CD" w14:textId="77777777" w:rsidR="000736FD" w:rsidRPr="005147FF" w:rsidRDefault="000736FD" w:rsidP="009F26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DC_48CA with UL DC_48A_n48A: Solution 1</w:t>
            </w:r>
          </w:p>
        </w:tc>
      </w:tr>
      <w:tr w:rsidR="000736FD" w:rsidRPr="0027117B" w14:paraId="6CB40659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574B4FDA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Entry 1</w:t>
            </w:r>
          </w:p>
        </w:tc>
        <w:tc>
          <w:tcPr>
            <w:tcW w:w="1408" w:type="dxa"/>
            <w:vAlign w:val="center"/>
          </w:tcPr>
          <w:p w14:paraId="7F433123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4FC10ED7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3C632326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424848D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6A201AE0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5FBFCF7F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516471A7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1568EE1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C</w:t>
            </w:r>
          </w:p>
        </w:tc>
        <w:tc>
          <w:tcPr>
            <w:tcW w:w="1408" w:type="dxa"/>
            <w:vAlign w:val="center"/>
          </w:tcPr>
          <w:p w14:paraId="758364D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4CC1511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2F4FF0D6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28D71EA8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both</w:t>
            </w:r>
          </w:p>
        </w:tc>
      </w:tr>
      <w:tr w:rsidR="000736FD" w:rsidRPr="0027117B" w14:paraId="6EF505D2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5C882B61" w14:textId="77777777" w:rsidR="000736FD" w:rsidRDefault="000736FD" w:rsidP="009F26B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NOTE: Solution 1 is used when UE also supports DL DC_48C_n48A</w:t>
            </w:r>
          </w:p>
        </w:tc>
      </w:tr>
      <w:tr w:rsidR="000736FD" w:rsidRPr="0027117B" w14:paraId="5168A11C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48ED4479" w14:textId="77777777" w:rsidR="000736FD" w:rsidRPr="005147FF" w:rsidRDefault="000736FD" w:rsidP="009F26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DC_48CA with UL DC_48A_n48A: Solution 2</w:t>
            </w:r>
          </w:p>
        </w:tc>
      </w:tr>
      <w:tr w:rsidR="000736FD" w:rsidRPr="0027117B" w14:paraId="6FC62849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35F99021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Entry 1</w:t>
            </w:r>
          </w:p>
        </w:tc>
        <w:tc>
          <w:tcPr>
            <w:tcW w:w="1408" w:type="dxa"/>
            <w:vAlign w:val="center"/>
          </w:tcPr>
          <w:p w14:paraId="421B1D7A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2546A2D8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21E203E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76BD4B33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56FAD4E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1632B610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20046338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635F27FE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C</w:t>
            </w:r>
          </w:p>
        </w:tc>
        <w:tc>
          <w:tcPr>
            <w:tcW w:w="1408" w:type="dxa"/>
            <w:vAlign w:val="center"/>
          </w:tcPr>
          <w:p w14:paraId="548E348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6E813504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6DDBD9D4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26409221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contiguous</w:t>
            </w:r>
          </w:p>
        </w:tc>
      </w:tr>
      <w:tr w:rsidR="000736FD" w:rsidRPr="0027117B" w14:paraId="6821BC66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327F2E86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Entry 2</w:t>
            </w:r>
          </w:p>
        </w:tc>
        <w:tc>
          <w:tcPr>
            <w:tcW w:w="1408" w:type="dxa"/>
            <w:vAlign w:val="center"/>
          </w:tcPr>
          <w:p w14:paraId="542892AF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339032C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3DF8785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002CC9F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514BE87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164A5DC9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714592DB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151FDACA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Class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</w:p>
        </w:tc>
        <w:tc>
          <w:tcPr>
            <w:tcW w:w="1408" w:type="dxa"/>
            <w:vAlign w:val="center"/>
          </w:tcPr>
          <w:p w14:paraId="02193B59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1D066F2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1AE29F8F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030FF583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non-contiguous</w:t>
            </w:r>
          </w:p>
        </w:tc>
      </w:tr>
      <w:tr w:rsidR="000736FD" w:rsidRPr="0027117B" w14:paraId="21C05EF7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3DFCAE88" w14:textId="77777777" w:rsidR="000736FD" w:rsidRDefault="000736FD" w:rsidP="009F26B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NOTE: Solution 2 is used when UE only supports DL DC_48A_n48A but not DL DC_48C_n48A (unlikely though) </w:t>
            </w:r>
          </w:p>
        </w:tc>
      </w:tr>
      <w:tr w:rsidR="000736FD" w:rsidRPr="0027117B" w14:paraId="076D0D05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6C07EF1D" w14:textId="77777777" w:rsidR="000736FD" w:rsidRPr="005147FF" w:rsidRDefault="000736FD" w:rsidP="009F26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DC_48DA with UL DC_48A_n48A: Solution 1</w:t>
            </w:r>
          </w:p>
        </w:tc>
      </w:tr>
      <w:tr w:rsidR="000736FD" w:rsidRPr="0027117B" w14:paraId="112A34CC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7D99386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Entry 1</w:t>
            </w:r>
          </w:p>
        </w:tc>
        <w:tc>
          <w:tcPr>
            <w:tcW w:w="1408" w:type="dxa"/>
            <w:vAlign w:val="center"/>
          </w:tcPr>
          <w:p w14:paraId="7A16B5F7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544FB50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10E171FE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33DECE94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05A7CB2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063618CB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1B383979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570195BF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Class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</w:t>
            </w:r>
          </w:p>
        </w:tc>
        <w:tc>
          <w:tcPr>
            <w:tcW w:w="1408" w:type="dxa"/>
            <w:vAlign w:val="center"/>
          </w:tcPr>
          <w:p w14:paraId="72DAA277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4897A684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7CDBF66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1D88050A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both</w:t>
            </w:r>
          </w:p>
        </w:tc>
      </w:tr>
      <w:tr w:rsidR="000736FD" w:rsidRPr="0027117B" w14:paraId="18149CAF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6461D426" w14:textId="77777777" w:rsidR="000736FD" w:rsidRDefault="000736FD" w:rsidP="009F26B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NOTE: Solution 1 is used when UE also supports DL DC_48D_n48A</w:t>
            </w:r>
          </w:p>
        </w:tc>
      </w:tr>
      <w:tr w:rsidR="000736FD" w:rsidRPr="0027117B" w14:paraId="44FD1F66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69CBA81C" w14:textId="77777777" w:rsidR="000736FD" w:rsidRPr="005147FF" w:rsidRDefault="000736FD" w:rsidP="009F26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DC_48CA with UL DC_48A_n48A: Solution 2</w:t>
            </w:r>
          </w:p>
        </w:tc>
      </w:tr>
      <w:tr w:rsidR="000736FD" w:rsidRPr="0027117B" w14:paraId="17F7B4CD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3DAA751B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Entry 1</w:t>
            </w:r>
          </w:p>
        </w:tc>
        <w:tc>
          <w:tcPr>
            <w:tcW w:w="1408" w:type="dxa"/>
            <w:vAlign w:val="center"/>
          </w:tcPr>
          <w:p w14:paraId="4F5B599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7E89967A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7F5EBA3B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701B69A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66B063F6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285C9C28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14DFED8C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6DA8DBDD" w14:textId="627ADA63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Class </w:t>
            </w:r>
            <w:r w:rsidR="008D6389">
              <w:rPr>
                <w:rFonts w:asciiTheme="minorHAnsi" w:hAnsiTheme="minorHAnsi" w:cstheme="minorHAnsi"/>
                <w:bCs/>
                <w:sz w:val="20"/>
                <w:szCs w:val="20"/>
              </w:rPr>
              <w:t>D</w:t>
            </w:r>
          </w:p>
        </w:tc>
        <w:tc>
          <w:tcPr>
            <w:tcW w:w="1408" w:type="dxa"/>
            <w:vAlign w:val="center"/>
          </w:tcPr>
          <w:p w14:paraId="02079C7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790AE370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31C427D7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4D394017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contiguous</w:t>
            </w:r>
          </w:p>
        </w:tc>
      </w:tr>
      <w:tr w:rsidR="000736FD" w:rsidRPr="0027117B" w14:paraId="47D5FC47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03DF704B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Entry 2</w:t>
            </w:r>
          </w:p>
        </w:tc>
        <w:tc>
          <w:tcPr>
            <w:tcW w:w="1408" w:type="dxa"/>
            <w:vAlign w:val="center"/>
          </w:tcPr>
          <w:p w14:paraId="2DE3A4D8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1137C3C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235E131E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6B10225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65033A07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6EF3C2D0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773C128C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56A06E2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Class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</w:p>
        </w:tc>
        <w:tc>
          <w:tcPr>
            <w:tcW w:w="1408" w:type="dxa"/>
            <w:vAlign w:val="center"/>
          </w:tcPr>
          <w:p w14:paraId="63ADF02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22E223C4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5882E0C1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2FF5420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non-contiguous</w:t>
            </w:r>
          </w:p>
        </w:tc>
      </w:tr>
      <w:tr w:rsidR="000736FD" w:rsidRPr="0027117B" w14:paraId="58831567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18859A74" w14:textId="77777777" w:rsidR="000736FD" w:rsidRDefault="000736FD" w:rsidP="009F26B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NOTE: Solution 2 is used when UE only supports DL DC_48A_n48A but not DL DC_48D_n48A (unlikely though)</w:t>
            </w:r>
          </w:p>
        </w:tc>
      </w:tr>
    </w:tbl>
    <w:p w14:paraId="49D223B0" w14:textId="77777777" w:rsidR="008C5949" w:rsidRDefault="008C5949" w:rsidP="005147FF">
      <w:pPr>
        <w:jc w:val="both"/>
        <w:rPr>
          <w:rFonts w:ascii="Arial" w:hAnsi="Arial" w:cs="Arial"/>
          <w:bCs/>
          <w:sz w:val="20"/>
          <w:szCs w:val="20"/>
        </w:rPr>
      </w:pPr>
    </w:p>
    <w:p w14:paraId="3DC5683A" w14:textId="37D8F246" w:rsidR="00F073C3" w:rsidRPr="000736FD" w:rsidRDefault="00B20B85" w:rsidP="000736FD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</w:t>
      </w:r>
      <w:r w:rsidR="00F073C3" w:rsidRPr="00F073C3">
        <w:rPr>
          <w:rFonts w:ascii="Arial" w:hAnsi="Arial" w:cs="Arial"/>
          <w:bCs/>
          <w:sz w:val="20"/>
          <w:szCs w:val="20"/>
        </w:rPr>
        <w:t xml:space="preserve"> </w:t>
      </w:r>
      <w:r w:rsidR="005147FF">
        <w:rPr>
          <w:rFonts w:ascii="Arial" w:hAnsi="Arial" w:cs="Arial"/>
          <w:b/>
          <w:sz w:val="20"/>
          <w:szCs w:val="20"/>
        </w:rPr>
        <w:t xml:space="preserve">Table </w:t>
      </w:r>
      <w:r w:rsidR="005147FF" w:rsidRPr="002D405E">
        <w:rPr>
          <w:rFonts w:ascii="Arial" w:hAnsi="Arial" w:cs="Arial"/>
          <w:b/>
          <w:sz w:val="20"/>
          <w:szCs w:val="20"/>
        </w:rPr>
        <w:t>2-</w:t>
      </w:r>
      <w:r w:rsidR="005147FF">
        <w:rPr>
          <w:rFonts w:ascii="Arial" w:hAnsi="Arial" w:cs="Arial"/>
          <w:b/>
          <w:sz w:val="20"/>
          <w:szCs w:val="20"/>
        </w:rPr>
        <w:t>3</w:t>
      </w:r>
      <w:r w:rsidR="005147FF" w:rsidRPr="002D405E">
        <w:rPr>
          <w:rFonts w:ascii="Arial" w:hAnsi="Arial" w:cs="Arial"/>
          <w:b/>
          <w:sz w:val="20"/>
          <w:szCs w:val="20"/>
        </w:rPr>
        <w:t xml:space="preserve"> </w:t>
      </w:r>
      <w:r w:rsidR="005147FF">
        <w:rPr>
          <w:rFonts w:ascii="Arial" w:hAnsi="Arial" w:cs="Arial"/>
          <w:b/>
          <w:sz w:val="20"/>
          <w:szCs w:val="20"/>
        </w:rPr>
        <w:t xml:space="preserve">Potential signaling solutions for </w:t>
      </w:r>
      <w:r w:rsidR="005147FF">
        <w:rPr>
          <w:rFonts w:ascii="Arial" w:hAnsi="Arial" w:cs="Arial"/>
          <w:b/>
          <w:bCs/>
          <w:sz w:val="20"/>
          <w:szCs w:val="20"/>
        </w:rPr>
        <w:t>Case 3 EN-DC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8"/>
        <w:gridCol w:w="1408"/>
        <w:gridCol w:w="1408"/>
        <w:gridCol w:w="1408"/>
        <w:gridCol w:w="1408"/>
        <w:gridCol w:w="2248"/>
      </w:tblGrid>
      <w:tr w:rsidR="000736FD" w:rsidRPr="0027117B" w14:paraId="022672E1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689047FC" w14:textId="77777777" w:rsidR="000736FD" w:rsidRPr="005147FF" w:rsidRDefault="000736FD" w:rsidP="009F26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DC_48A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_(n)48AA </w:t>
            </w: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with UL DC_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(n)</w:t>
            </w: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48A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 and UL DC_48A_n48A</w:t>
            </w: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: Solution 1</w:t>
            </w:r>
          </w:p>
        </w:tc>
      </w:tr>
      <w:tr w:rsidR="000736FD" w:rsidRPr="0027117B" w14:paraId="555D2B21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1811DD89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Entry 1</w:t>
            </w:r>
          </w:p>
        </w:tc>
        <w:tc>
          <w:tcPr>
            <w:tcW w:w="1408" w:type="dxa"/>
            <w:vAlign w:val="center"/>
          </w:tcPr>
          <w:p w14:paraId="006C824E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5DCF90E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7EF79C7A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7C3AEB74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7B67BA26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28E79BF0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724C7D68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7B73F89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CA_48A-48A</w:t>
            </w:r>
          </w:p>
        </w:tc>
        <w:tc>
          <w:tcPr>
            <w:tcW w:w="1408" w:type="dxa"/>
            <w:vAlign w:val="center"/>
          </w:tcPr>
          <w:p w14:paraId="2B15865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73D063D7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1C9328F1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54966683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both</w:t>
            </w:r>
          </w:p>
        </w:tc>
      </w:tr>
      <w:tr w:rsidR="000736FD" w:rsidRPr="0027117B" w14:paraId="7917D53B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585612B0" w14:textId="77777777" w:rsidR="000736FD" w:rsidRDefault="000736FD" w:rsidP="009F26B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NOTE: Solution 1 is used when UE also supports DL DC_48A-48A_n48A</w:t>
            </w:r>
          </w:p>
        </w:tc>
      </w:tr>
      <w:tr w:rsidR="000736FD" w:rsidRPr="0027117B" w14:paraId="47968FB8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225C3CD6" w14:textId="77777777" w:rsidR="000736FD" w:rsidRPr="005147FF" w:rsidRDefault="000736FD" w:rsidP="009F26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DC_48A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_(n)48AA </w:t>
            </w: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with UL DC_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(n)</w:t>
            </w: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>48A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 and UL DC_48A_n48A</w:t>
            </w:r>
            <w:r w:rsidRPr="005147F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Solution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</w:tr>
      <w:tr w:rsidR="000736FD" w:rsidRPr="0027117B" w14:paraId="6D81B3E7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76146599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Entry 1</w:t>
            </w:r>
          </w:p>
        </w:tc>
        <w:tc>
          <w:tcPr>
            <w:tcW w:w="1408" w:type="dxa"/>
            <w:vAlign w:val="center"/>
          </w:tcPr>
          <w:p w14:paraId="078AA408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6CC38DB6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252071E9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68BEB59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774A03D3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0116206F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23DFA7AB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5630239C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CA_48A-48A</w:t>
            </w:r>
          </w:p>
        </w:tc>
        <w:tc>
          <w:tcPr>
            <w:tcW w:w="1408" w:type="dxa"/>
            <w:vAlign w:val="center"/>
          </w:tcPr>
          <w:p w14:paraId="0FD3055F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2D81BDFE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656280C1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0EF250E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contiguous</w:t>
            </w:r>
          </w:p>
        </w:tc>
      </w:tr>
      <w:tr w:rsidR="000736FD" w:rsidRPr="0027117B" w14:paraId="785E68D0" w14:textId="77777777" w:rsidTr="009F26B2">
        <w:trPr>
          <w:trHeight w:val="259"/>
          <w:jc w:val="center"/>
        </w:trPr>
        <w:tc>
          <w:tcPr>
            <w:tcW w:w="1408" w:type="dxa"/>
            <w:vMerge w:val="restart"/>
            <w:vAlign w:val="center"/>
          </w:tcPr>
          <w:p w14:paraId="48E7017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Entry 2</w:t>
            </w:r>
          </w:p>
        </w:tc>
        <w:tc>
          <w:tcPr>
            <w:tcW w:w="1408" w:type="dxa"/>
            <w:vAlign w:val="center"/>
          </w:tcPr>
          <w:p w14:paraId="6130F6F8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DL</w:t>
            </w:r>
          </w:p>
        </w:tc>
        <w:tc>
          <w:tcPr>
            <w:tcW w:w="1408" w:type="dxa"/>
            <w:vAlign w:val="center"/>
          </w:tcPr>
          <w:p w14:paraId="2E7F763D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LTE UL</w:t>
            </w:r>
          </w:p>
        </w:tc>
        <w:tc>
          <w:tcPr>
            <w:tcW w:w="1408" w:type="dxa"/>
            <w:vAlign w:val="center"/>
          </w:tcPr>
          <w:p w14:paraId="6AE7DC72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DL</w:t>
            </w:r>
          </w:p>
        </w:tc>
        <w:tc>
          <w:tcPr>
            <w:tcW w:w="1408" w:type="dxa"/>
            <w:vAlign w:val="center"/>
          </w:tcPr>
          <w:p w14:paraId="5C00FCE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NR UL</w:t>
            </w:r>
          </w:p>
        </w:tc>
        <w:tc>
          <w:tcPr>
            <w:tcW w:w="2248" w:type="dxa"/>
            <w:vAlign w:val="center"/>
          </w:tcPr>
          <w:p w14:paraId="2CF2C438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3AC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intraBandENDC-support</w:t>
            </w:r>
          </w:p>
        </w:tc>
      </w:tr>
      <w:tr w:rsidR="000736FD" w:rsidRPr="0027117B" w14:paraId="1F2ADFC8" w14:textId="77777777" w:rsidTr="009F26B2">
        <w:trPr>
          <w:trHeight w:val="259"/>
          <w:jc w:val="center"/>
        </w:trPr>
        <w:tc>
          <w:tcPr>
            <w:tcW w:w="1408" w:type="dxa"/>
            <w:vMerge/>
            <w:vAlign w:val="center"/>
          </w:tcPr>
          <w:p w14:paraId="58E7F6E9" w14:textId="77777777" w:rsidR="000736FD" w:rsidRPr="0027117B" w:rsidRDefault="000736FD" w:rsidP="009F26B2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14:paraId="55F83284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Class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</w:p>
        </w:tc>
        <w:tc>
          <w:tcPr>
            <w:tcW w:w="1408" w:type="dxa"/>
            <w:vAlign w:val="center"/>
          </w:tcPr>
          <w:p w14:paraId="2DB6E50B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5C7DB0D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1408" w:type="dxa"/>
            <w:vAlign w:val="center"/>
          </w:tcPr>
          <w:p w14:paraId="5CF5D36A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117B">
              <w:rPr>
                <w:rFonts w:asciiTheme="minorHAnsi" w:hAnsiTheme="minorHAnsi" w:cstheme="minorHAnsi"/>
                <w:bCs/>
                <w:sz w:val="20"/>
                <w:szCs w:val="20"/>
              </w:rPr>
              <w:t>Class A</w:t>
            </w:r>
          </w:p>
        </w:tc>
        <w:tc>
          <w:tcPr>
            <w:tcW w:w="2248" w:type="dxa"/>
            <w:vAlign w:val="center"/>
          </w:tcPr>
          <w:p w14:paraId="5DBC62E5" w14:textId="77777777" w:rsidR="000736FD" w:rsidRPr="0027117B" w:rsidRDefault="000736FD" w:rsidP="009F26B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non-contiguous</w:t>
            </w:r>
          </w:p>
        </w:tc>
      </w:tr>
      <w:tr w:rsidR="000736FD" w:rsidRPr="0027117B" w14:paraId="5309D31F" w14:textId="77777777" w:rsidTr="009F26B2">
        <w:trPr>
          <w:trHeight w:val="259"/>
          <w:jc w:val="center"/>
        </w:trPr>
        <w:tc>
          <w:tcPr>
            <w:tcW w:w="9288" w:type="dxa"/>
            <w:gridSpan w:val="6"/>
            <w:vAlign w:val="center"/>
          </w:tcPr>
          <w:p w14:paraId="4AD7C769" w14:textId="77777777" w:rsidR="000736FD" w:rsidRDefault="000736FD" w:rsidP="009F26B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NOTE: Solution 2 is used when UE only supports DL DC_48A_(n)48AA but not DL DC_48A-48A_n48A (likely) </w:t>
            </w:r>
          </w:p>
        </w:tc>
      </w:tr>
    </w:tbl>
    <w:p w14:paraId="46B9FF9F" w14:textId="77777777" w:rsidR="000736FD" w:rsidRPr="00F073C3" w:rsidRDefault="000736FD" w:rsidP="000736FD">
      <w:pPr>
        <w:jc w:val="both"/>
        <w:rPr>
          <w:rFonts w:ascii="Arial" w:hAnsi="Arial" w:cs="Arial"/>
          <w:bCs/>
          <w:sz w:val="20"/>
          <w:szCs w:val="20"/>
        </w:rPr>
      </w:pPr>
    </w:p>
    <w:p w14:paraId="764BB673" w14:textId="271AF746" w:rsidR="000736FD" w:rsidRPr="000736FD" w:rsidRDefault="000736FD" w:rsidP="000736FD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</w:t>
      </w:r>
      <w:r w:rsidRPr="00F073C3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Table </w:t>
      </w:r>
      <w:r w:rsidRPr="002D405E">
        <w:rPr>
          <w:rFonts w:ascii="Arial" w:hAnsi="Arial" w:cs="Arial"/>
          <w:b/>
          <w:sz w:val="20"/>
          <w:szCs w:val="20"/>
        </w:rPr>
        <w:t>2-</w:t>
      </w:r>
      <w:r>
        <w:rPr>
          <w:rFonts w:ascii="Arial" w:hAnsi="Arial" w:cs="Arial"/>
          <w:b/>
          <w:sz w:val="20"/>
          <w:szCs w:val="20"/>
        </w:rPr>
        <w:t>4</w:t>
      </w:r>
      <w:r w:rsidRPr="002D405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Potential signaling solutions for </w:t>
      </w:r>
      <w:r>
        <w:rPr>
          <w:rFonts w:ascii="Arial" w:hAnsi="Arial" w:cs="Arial"/>
          <w:b/>
          <w:bCs/>
          <w:sz w:val="20"/>
          <w:szCs w:val="20"/>
        </w:rPr>
        <w:t>Case 4 EN-DC configurations</w:t>
      </w:r>
    </w:p>
    <w:p w14:paraId="0F86AEE8" w14:textId="508D0D19" w:rsidR="00F073C3" w:rsidRPr="00F073C3" w:rsidRDefault="00F073C3" w:rsidP="00F073C3">
      <w:pPr>
        <w:jc w:val="both"/>
        <w:rPr>
          <w:rFonts w:ascii="Arial" w:hAnsi="Arial" w:cs="Arial"/>
          <w:bCs/>
          <w:sz w:val="20"/>
          <w:szCs w:val="20"/>
        </w:rPr>
      </w:pPr>
    </w:p>
    <w:p w14:paraId="6E1372D1" w14:textId="449F70D0" w:rsidR="00160094" w:rsidRPr="00160094" w:rsidRDefault="00160094" w:rsidP="00F073C3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60094">
        <w:rPr>
          <w:rFonts w:ascii="Arial" w:hAnsi="Arial" w:cs="Arial"/>
          <w:b/>
          <w:i/>
          <w:iCs/>
          <w:sz w:val="20"/>
          <w:szCs w:val="20"/>
        </w:rPr>
        <w:t>Proposal 1</w:t>
      </w:r>
      <w:r w:rsidRPr="00160094">
        <w:rPr>
          <w:rFonts w:ascii="Arial" w:hAnsi="Arial" w:cs="Arial"/>
          <w:bCs/>
          <w:i/>
          <w:iCs/>
          <w:sz w:val="20"/>
          <w:szCs w:val="20"/>
        </w:rPr>
        <w:t>: UE capability to support Case 3 configurations is indicated by either Solution 1 or Solution 2 as summarized in Table 2-3.</w:t>
      </w:r>
    </w:p>
    <w:p w14:paraId="33B7A24C" w14:textId="26DA0312" w:rsidR="00160094" w:rsidRDefault="00160094" w:rsidP="00160094">
      <w:pPr>
        <w:jc w:val="both"/>
        <w:rPr>
          <w:rFonts w:ascii="Arial" w:hAnsi="Arial" w:cs="Arial"/>
          <w:bCs/>
          <w:sz w:val="20"/>
          <w:szCs w:val="20"/>
        </w:rPr>
      </w:pPr>
    </w:p>
    <w:p w14:paraId="7CCBE437" w14:textId="49C1696F" w:rsidR="00160094" w:rsidRPr="00160094" w:rsidRDefault="00160094" w:rsidP="0016009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60094">
        <w:rPr>
          <w:rFonts w:ascii="Arial" w:hAnsi="Arial" w:cs="Arial"/>
          <w:b/>
          <w:i/>
          <w:iCs/>
          <w:sz w:val="20"/>
          <w:szCs w:val="20"/>
        </w:rPr>
        <w:t>Proposal 2</w:t>
      </w:r>
      <w:r w:rsidRPr="00160094">
        <w:rPr>
          <w:rFonts w:ascii="Arial" w:hAnsi="Arial" w:cs="Arial"/>
          <w:bCs/>
          <w:i/>
          <w:iCs/>
          <w:sz w:val="20"/>
          <w:szCs w:val="20"/>
        </w:rPr>
        <w:t>: UE capability to support Case 4 configurations is indicated by either Solution 1 or Solution 2 as summarized in Table 2-</w:t>
      </w:r>
      <w:r w:rsidR="00CC65DA">
        <w:rPr>
          <w:rFonts w:ascii="Arial" w:hAnsi="Arial" w:cs="Arial"/>
          <w:bCs/>
          <w:i/>
          <w:iCs/>
          <w:sz w:val="20"/>
          <w:szCs w:val="20"/>
        </w:rPr>
        <w:t>4</w:t>
      </w:r>
      <w:r w:rsidRPr="00160094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600BE641" w14:textId="77777777" w:rsidR="00160094" w:rsidRDefault="00160094" w:rsidP="00160094">
      <w:pPr>
        <w:jc w:val="both"/>
        <w:rPr>
          <w:rFonts w:ascii="Arial" w:hAnsi="Arial" w:cs="Arial"/>
          <w:bCs/>
          <w:sz w:val="20"/>
          <w:szCs w:val="20"/>
        </w:rPr>
      </w:pPr>
    </w:p>
    <w:p w14:paraId="794DE145" w14:textId="0DF54FC2" w:rsidR="00EA4D3E" w:rsidRDefault="002633BF" w:rsidP="00F073C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</w:rPr>
        <w:t>On the other hand, during the discussions in last RAN4 meeting, it was consented that the c</w:t>
      </w:r>
      <w:r w:rsidRPr="002633BF">
        <w:rPr>
          <w:rFonts w:ascii="Arial" w:hAnsi="Arial" w:cs="Arial"/>
          <w:bCs/>
          <w:sz w:val="20"/>
          <w:szCs w:val="20"/>
        </w:rPr>
        <w:t xml:space="preserve">ontiguous or non-contiguous EN-DC configuration is </w:t>
      </w:r>
      <w:r>
        <w:rPr>
          <w:rFonts w:ascii="Arial" w:hAnsi="Arial" w:cs="Arial"/>
          <w:bCs/>
          <w:sz w:val="20"/>
          <w:szCs w:val="20"/>
        </w:rPr>
        <w:t>not</w:t>
      </w:r>
      <w:r w:rsidRPr="002633BF">
        <w:rPr>
          <w:rFonts w:ascii="Arial" w:hAnsi="Arial" w:cs="Arial"/>
          <w:bCs/>
          <w:sz w:val="20"/>
          <w:szCs w:val="20"/>
        </w:rPr>
        <w:t xml:space="preserve"> only categorized by </w:t>
      </w:r>
      <w:r>
        <w:rPr>
          <w:rFonts w:ascii="Arial" w:hAnsi="Arial" w:cs="Arial"/>
          <w:bCs/>
          <w:sz w:val="20"/>
          <w:szCs w:val="20"/>
        </w:rPr>
        <w:t xml:space="preserve">the </w:t>
      </w:r>
      <w:r w:rsidRPr="002633BF">
        <w:rPr>
          <w:rFonts w:ascii="Arial" w:hAnsi="Arial" w:cs="Arial"/>
          <w:bCs/>
          <w:sz w:val="20"/>
          <w:szCs w:val="20"/>
        </w:rPr>
        <w:t>DL in RAN4</w:t>
      </w:r>
      <w:r>
        <w:rPr>
          <w:rFonts w:ascii="Arial" w:hAnsi="Arial" w:cs="Arial"/>
          <w:bCs/>
          <w:sz w:val="20"/>
          <w:szCs w:val="20"/>
        </w:rPr>
        <w:t xml:space="preserve"> where the agreement is also captured in the above-mentioned approved WF [5]. Therefore, in our view it is better to move the Case 3 configurations from </w:t>
      </w:r>
      <w:r w:rsidRPr="00AA40ED">
        <w:rPr>
          <w:rFonts w:ascii="Arial" w:hAnsi="Arial" w:cs="Arial"/>
          <w:sz w:val="20"/>
          <w:szCs w:val="20"/>
          <w:lang w:val="en-GB"/>
        </w:rPr>
        <w:t>Table 5.3B.1.2-1</w:t>
      </w:r>
      <w:r>
        <w:rPr>
          <w:rFonts w:ascii="Arial" w:hAnsi="Arial" w:cs="Arial"/>
          <w:sz w:val="20"/>
          <w:szCs w:val="20"/>
          <w:lang w:val="en-GB"/>
        </w:rPr>
        <w:t xml:space="preserve"> (intra-band contiguous EN-DC) </w:t>
      </w:r>
      <w:r w:rsidR="00160094">
        <w:rPr>
          <w:rFonts w:ascii="Arial" w:hAnsi="Arial" w:cs="Arial"/>
          <w:sz w:val="20"/>
          <w:szCs w:val="20"/>
          <w:lang w:val="en-GB"/>
        </w:rPr>
        <w:t xml:space="preserve">to </w:t>
      </w:r>
      <w:r w:rsidR="00160094" w:rsidRPr="00AA40ED">
        <w:rPr>
          <w:rFonts w:ascii="Arial" w:hAnsi="Arial" w:cs="Arial"/>
          <w:sz w:val="20"/>
          <w:szCs w:val="20"/>
          <w:lang w:val="en-GB"/>
        </w:rPr>
        <w:t>Table 5.3B.1.3-2</w:t>
      </w:r>
      <w:r w:rsidR="00160094">
        <w:rPr>
          <w:rFonts w:ascii="Arial" w:hAnsi="Arial" w:cs="Arial"/>
          <w:sz w:val="20"/>
          <w:szCs w:val="20"/>
          <w:lang w:val="en-GB"/>
        </w:rPr>
        <w:t xml:space="preserve"> (</w:t>
      </w:r>
      <w:r w:rsidR="00160094" w:rsidRPr="00160094">
        <w:rPr>
          <w:rFonts w:ascii="Arial" w:hAnsi="Arial" w:cs="Arial"/>
          <w:sz w:val="20"/>
          <w:szCs w:val="20"/>
          <w:lang w:val="en-GB"/>
        </w:rPr>
        <w:t xml:space="preserve">intra-band EN-DC </w:t>
      </w:r>
      <w:r w:rsidR="00160094">
        <w:rPr>
          <w:rFonts w:ascii="Arial" w:hAnsi="Arial" w:cs="Arial"/>
          <w:sz w:val="20"/>
          <w:szCs w:val="20"/>
          <w:lang w:val="en-GB"/>
        </w:rPr>
        <w:t xml:space="preserve">with </w:t>
      </w:r>
      <w:r w:rsidR="00160094" w:rsidRPr="00160094">
        <w:rPr>
          <w:rFonts w:ascii="Arial" w:hAnsi="Arial" w:cs="Arial"/>
          <w:sz w:val="20"/>
          <w:szCs w:val="20"/>
          <w:lang w:val="en-GB"/>
        </w:rPr>
        <w:t>mixed intra-band contiguous and non-contiguous EN-DC</w:t>
      </w:r>
      <w:r w:rsidR="00160094">
        <w:rPr>
          <w:rFonts w:ascii="Arial" w:hAnsi="Arial" w:cs="Arial"/>
          <w:sz w:val="20"/>
          <w:szCs w:val="20"/>
          <w:lang w:val="en-GB"/>
        </w:rPr>
        <w:t xml:space="preserve">) and from </w:t>
      </w:r>
      <w:r w:rsidR="00EA4D3E" w:rsidRPr="00AA40ED">
        <w:rPr>
          <w:rFonts w:ascii="Arial" w:hAnsi="Arial" w:cs="Arial"/>
          <w:sz w:val="20"/>
          <w:szCs w:val="20"/>
          <w:lang w:val="en-GB"/>
        </w:rPr>
        <w:t>Table 5.5B.2-1</w:t>
      </w:r>
      <w:r w:rsidR="00EA4D3E">
        <w:rPr>
          <w:rFonts w:ascii="Arial" w:hAnsi="Arial" w:cs="Arial"/>
          <w:sz w:val="20"/>
          <w:szCs w:val="20"/>
          <w:lang w:val="en-GB"/>
        </w:rPr>
        <w:t xml:space="preserve"> (intra-band contiguous EN-DC) to </w:t>
      </w:r>
      <w:r w:rsidR="00EA4D3E" w:rsidRPr="00AA40ED">
        <w:rPr>
          <w:rFonts w:ascii="Arial" w:hAnsi="Arial" w:cs="Arial"/>
          <w:sz w:val="20"/>
          <w:szCs w:val="20"/>
          <w:lang w:val="en-GB"/>
        </w:rPr>
        <w:t>Table 5.5B.3-2</w:t>
      </w:r>
      <w:r w:rsidR="00EA4D3E">
        <w:rPr>
          <w:rFonts w:ascii="Arial" w:hAnsi="Arial" w:cs="Arial"/>
          <w:sz w:val="20"/>
          <w:szCs w:val="20"/>
          <w:lang w:val="en-GB"/>
        </w:rPr>
        <w:t xml:space="preserve"> (</w:t>
      </w:r>
      <w:r w:rsidR="00EA4D3E" w:rsidRPr="00EA4D3E">
        <w:rPr>
          <w:rFonts w:ascii="Arial" w:hAnsi="Arial" w:cs="Arial"/>
          <w:sz w:val="20"/>
          <w:szCs w:val="20"/>
          <w:lang w:val="en-GB"/>
        </w:rPr>
        <w:t>mixed intra-band contiguous and non-contiguous EN-DC</w:t>
      </w:r>
      <w:r w:rsidR="00EA4D3E">
        <w:rPr>
          <w:rFonts w:ascii="Arial" w:hAnsi="Arial" w:cs="Arial"/>
          <w:sz w:val="20"/>
          <w:szCs w:val="20"/>
          <w:lang w:val="en-GB"/>
        </w:rPr>
        <w:t>) in TS 38.101-3 as has already been done for Case 4 configurations to remove the remaining ambiguity in RAN4 specifications.</w:t>
      </w:r>
    </w:p>
    <w:p w14:paraId="04FAF59C" w14:textId="77777777" w:rsidR="00EA4D3E" w:rsidRDefault="00EA4D3E" w:rsidP="007157FD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31C802A" w14:textId="043B7571" w:rsidR="00F073C3" w:rsidRPr="007157FD" w:rsidRDefault="00EA4D3E" w:rsidP="00F073C3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7157FD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Proposal 3</w:t>
      </w:r>
      <w:r w:rsidRPr="007157FD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 w:rsidRPr="007157FD">
        <w:rPr>
          <w:rFonts w:ascii="Arial" w:hAnsi="Arial" w:cs="Arial"/>
          <w:bCs/>
          <w:i/>
          <w:iCs/>
          <w:sz w:val="20"/>
          <w:szCs w:val="20"/>
        </w:rPr>
        <w:t xml:space="preserve">Move the Case 3 configurations from </w:t>
      </w:r>
      <w:r w:rsidRPr="007157FD">
        <w:rPr>
          <w:rFonts w:ascii="Arial" w:hAnsi="Arial" w:cs="Arial"/>
          <w:i/>
          <w:iCs/>
          <w:sz w:val="20"/>
          <w:szCs w:val="20"/>
          <w:lang w:val="en-GB"/>
        </w:rPr>
        <w:t>Table 5.3B.1.2-1</w:t>
      </w:r>
      <w:r w:rsidR="007157FD" w:rsidRPr="007157FD">
        <w:rPr>
          <w:rFonts w:ascii="Arial" w:hAnsi="Arial" w:cs="Arial"/>
          <w:i/>
          <w:iCs/>
          <w:sz w:val="20"/>
          <w:szCs w:val="20"/>
          <w:lang w:val="en-GB"/>
        </w:rPr>
        <w:t xml:space="preserve"> (contiguous)</w:t>
      </w:r>
      <w:r w:rsidRPr="007157FD">
        <w:rPr>
          <w:rFonts w:ascii="Arial" w:hAnsi="Arial" w:cs="Arial"/>
          <w:i/>
          <w:iCs/>
          <w:sz w:val="20"/>
          <w:szCs w:val="20"/>
          <w:lang w:val="en-GB"/>
        </w:rPr>
        <w:t xml:space="preserve"> to Table 5.3B.1.3-2 </w:t>
      </w:r>
      <w:r w:rsidR="007157FD" w:rsidRPr="007157FD">
        <w:rPr>
          <w:rFonts w:ascii="Arial" w:hAnsi="Arial" w:cs="Arial"/>
          <w:i/>
          <w:iCs/>
          <w:sz w:val="20"/>
          <w:szCs w:val="20"/>
          <w:lang w:val="en-GB"/>
        </w:rPr>
        <w:t xml:space="preserve">(mixed contiguous and non-contiguous) </w:t>
      </w:r>
      <w:r w:rsidRPr="007157FD">
        <w:rPr>
          <w:rFonts w:ascii="Arial" w:hAnsi="Arial" w:cs="Arial"/>
          <w:i/>
          <w:iCs/>
          <w:sz w:val="20"/>
          <w:szCs w:val="20"/>
          <w:lang w:val="en-GB"/>
        </w:rPr>
        <w:t>and from Table 5.5B.2-1 (</w:t>
      </w:r>
      <w:r w:rsidR="007157FD" w:rsidRPr="007157FD">
        <w:rPr>
          <w:rFonts w:ascii="Arial" w:hAnsi="Arial" w:cs="Arial"/>
          <w:i/>
          <w:iCs/>
          <w:sz w:val="20"/>
          <w:szCs w:val="20"/>
          <w:lang w:val="en-GB"/>
        </w:rPr>
        <w:t xml:space="preserve">contiguous) </w:t>
      </w:r>
      <w:r w:rsidRPr="007157FD">
        <w:rPr>
          <w:rFonts w:ascii="Arial" w:hAnsi="Arial" w:cs="Arial"/>
          <w:i/>
          <w:iCs/>
          <w:sz w:val="20"/>
          <w:szCs w:val="20"/>
          <w:lang w:val="en-GB"/>
        </w:rPr>
        <w:t xml:space="preserve">to Table 5.5B.3-2 (mixed contiguous and non-contiguous EN-DC) in TS 38.101-3 to remove the remaining ambiguity in RAN4 specifications.  </w:t>
      </w:r>
      <w:r w:rsidR="002633BF" w:rsidRPr="007157FD">
        <w:rPr>
          <w:rFonts w:ascii="Arial" w:hAnsi="Arial" w:cs="Arial"/>
          <w:bCs/>
          <w:i/>
          <w:iCs/>
          <w:sz w:val="20"/>
          <w:szCs w:val="20"/>
        </w:rPr>
        <w:t xml:space="preserve">    </w:t>
      </w:r>
      <w:r w:rsidR="000736FD" w:rsidRPr="007157FD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2E76A6A0" w14:textId="77777777" w:rsidR="00F073C3" w:rsidRDefault="00F073C3" w:rsidP="00F073C3">
      <w:pPr>
        <w:jc w:val="both"/>
        <w:rPr>
          <w:rFonts w:ascii="Arial" w:hAnsi="Arial" w:cs="Arial"/>
          <w:bCs/>
          <w:sz w:val="20"/>
          <w:szCs w:val="20"/>
        </w:rPr>
      </w:pPr>
    </w:p>
    <w:p w14:paraId="20ECA376" w14:textId="69150AFC" w:rsidR="00F073C3" w:rsidRDefault="007157FD" w:rsidP="00F073C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Based on the above proposals and the agreements in the approved WF in last RAN4 meeting [5], we have prepared a companion CR [6] in this meeting to implement the necessary changes in RAN4 specifications. Upon the agreement of the proposed CR, we think this long-standing open issue for intra-band EN-DC can be closed.</w:t>
      </w:r>
    </w:p>
    <w:p w14:paraId="243CD68F" w14:textId="5013BDA9" w:rsidR="00E922FE" w:rsidRPr="007157FD" w:rsidRDefault="00E922FE" w:rsidP="004F1ED6">
      <w:pPr>
        <w:jc w:val="both"/>
        <w:rPr>
          <w:rFonts w:ascii="Arial" w:hAnsi="Arial" w:cs="Arial"/>
          <w:bCs/>
          <w:sz w:val="20"/>
          <w:szCs w:val="20"/>
        </w:rPr>
      </w:pP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67110BD" w:rsidR="006D7B72" w:rsidRPr="00BF306A" w:rsidRDefault="007157FD" w:rsidP="00C358C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876FE">
        <w:rPr>
          <w:rFonts w:ascii="Arial" w:hAnsi="Arial" w:cs="Arial"/>
          <w:sz w:val="20"/>
          <w:szCs w:val="20"/>
        </w:rPr>
        <w:t>In this contribution, we share our views on</w:t>
      </w:r>
      <w:r>
        <w:rPr>
          <w:rFonts w:ascii="Arial" w:hAnsi="Arial" w:cs="Arial"/>
          <w:sz w:val="20"/>
          <w:szCs w:val="20"/>
        </w:rPr>
        <w:t xml:space="preserve"> how UE capability can be properly indicated to support the Case 3 and Case 4 configurations for </w:t>
      </w:r>
      <w:r w:rsidRPr="007B356D">
        <w:rPr>
          <w:rFonts w:ascii="Arial" w:hAnsi="Arial" w:cs="Arial"/>
          <w:sz w:val="20"/>
          <w:szCs w:val="20"/>
        </w:rPr>
        <w:t>B48/n48 intra-band EN-DC based on the existing RAN2 signaling design for intra-band EN-DC.</w:t>
      </w:r>
      <w:r>
        <w:rPr>
          <w:rFonts w:ascii="Arial" w:hAnsi="Arial" w:cs="Arial"/>
          <w:sz w:val="20"/>
          <w:szCs w:val="20"/>
        </w:rPr>
        <w:t xml:space="preserve"> We also propose to move the Case 3 configurations from </w:t>
      </w:r>
      <w:r w:rsidRPr="00AA40ED">
        <w:rPr>
          <w:rFonts w:ascii="Arial" w:hAnsi="Arial" w:cs="Arial"/>
          <w:sz w:val="20"/>
          <w:szCs w:val="20"/>
          <w:lang w:val="en-GB"/>
        </w:rPr>
        <w:t>Table 5.3B.1.2-1</w:t>
      </w:r>
      <w:r>
        <w:rPr>
          <w:rFonts w:ascii="Arial" w:hAnsi="Arial" w:cs="Arial"/>
          <w:sz w:val="20"/>
          <w:szCs w:val="20"/>
          <w:lang w:val="en-GB"/>
        </w:rPr>
        <w:t xml:space="preserve"> to </w:t>
      </w:r>
      <w:r w:rsidRPr="00AA40ED">
        <w:rPr>
          <w:rFonts w:ascii="Arial" w:hAnsi="Arial" w:cs="Arial"/>
          <w:sz w:val="20"/>
          <w:szCs w:val="20"/>
          <w:lang w:val="en-GB"/>
        </w:rPr>
        <w:t>Table 5.3B.1.3-2</w:t>
      </w:r>
      <w:r>
        <w:rPr>
          <w:rFonts w:ascii="Arial" w:hAnsi="Arial" w:cs="Arial"/>
          <w:sz w:val="20"/>
          <w:szCs w:val="20"/>
          <w:lang w:val="en-GB"/>
        </w:rPr>
        <w:t xml:space="preserve"> and from </w:t>
      </w:r>
      <w:r w:rsidRPr="00AA40ED">
        <w:rPr>
          <w:rFonts w:ascii="Arial" w:hAnsi="Arial" w:cs="Arial"/>
          <w:sz w:val="20"/>
          <w:szCs w:val="20"/>
          <w:lang w:val="en-GB"/>
        </w:rPr>
        <w:t>Table 5.5B.2-1</w:t>
      </w:r>
      <w:r>
        <w:rPr>
          <w:rFonts w:ascii="Arial" w:hAnsi="Arial" w:cs="Arial"/>
          <w:sz w:val="20"/>
          <w:szCs w:val="20"/>
          <w:lang w:val="en-GB"/>
        </w:rPr>
        <w:t xml:space="preserve"> to </w:t>
      </w:r>
      <w:r w:rsidRPr="00AA40ED">
        <w:rPr>
          <w:rFonts w:ascii="Arial" w:hAnsi="Arial" w:cs="Arial"/>
          <w:sz w:val="20"/>
          <w:szCs w:val="20"/>
          <w:lang w:val="en-GB"/>
        </w:rPr>
        <w:t>Table 5.5B.3-2</w:t>
      </w:r>
      <w:r>
        <w:rPr>
          <w:rFonts w:ascii="Arial" w:hAnsi="Arial" w:cs="Arial"/>
          <w:sz w:val="20"/>
          <w:szCs w:val="20"/>
          <w:lang w:val="en-GB"/>
        </w:rPr>
        <w:t xml:space="preserve"> in TS 38.101-3 to remove the remaining ambiguity in RAN4 specifications.</w:t>
      </w:r>
      <w:r w:rsidR="00BF306A">
        <w:rPr>
          <w:rFonts w:ascii="Arial" w:hAnsi="Arial" w:cs="Arial"/>
          <w:sz w:val="20"/>
          <w:szCs w:val="20"/>
        </w:rPr>
        <w:t xml:space="preserve">                  </w:t>
      </w:r>
      <w:r w:rsidR="00BF306A">
        <w:rPr>
          <w:rFonts w:ascii="Arial" w:hAnsi="Arial" w:cs="Arial"/>
          <w:sz w:val="20"/>
          <w:szCs w:val="20"/>
          <w:lang w:val="en-GB"/>
        </w:rPr>
        <w:t xml:space="preserve">    </w:t>
      </w:r>
      <w:r w:rsidR="00BF306A">
        <w:rPr>
          <w:rFonts w:ascii="Arial" w:hAnsi="Arial" w:cs="Arial"/>
          <w:sz w:val="20"/>
          <w:szCs w:val="20"/>
        </w:rPr>
        <w:t xml:space="preserve">   </w:t>
      </w:r>
      <w:r w:rsidR="00BF306A" w:rsidRPr="00A0194F">
        <w:rPr>
          <w:rFonts w:ascii="Arial" w:hAnsi="Arial" w:cs="Arial"/>
          <w:iCs/>
          <w:sz w:val="20"/>
          <w:szCs w:val="20"/>
        </w:rPr>
        <w:t xml:space="preserve">        </w:t>
      </w:r>
    </w:p>
    <w:p w14:paraId="2BD3E33E" w14:textId="67049B32" w:rsidR="0068530E" w:rsidRPr="00BA50B0" w:rsidRDefault="0068530E" w:rsidP="0068530E">
      <w:pPr>
        <w:jc w:val="both"/>
        <w:rPr>
          <w:rFonts w:ascii="Arial" w:hAnsi="Arial" w:cs="Arial"/>
          <w:bCs/>
          <w:sz w:val="20"/>
          <w:szCs w:val="20"/>
        </w:rPr>
      </w:pPr>
    </w:p>
    <w:p w14:paraId="36C2B581" w14:textId="3E593813" w:rsidR="000572D5" w:rsidRPr="00BA50B0" w:rsidRDefault="0064163A" w:rsidP="000572D5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Observation 1</w:t>
      </w:r>
      <w:r w:rsidR="00CC65DA" w:rsidRPr="00A0194F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CC65DA">
        <w:rPr>
          <w:rFonts w:ascii="Arial" w:hAnsi="Arial" w:cs="Arial"/>
          <w:bCs/>
          <w:i/>
          <w:iCs/>
          <w:sz w:val="20"/>
          <w:szCs w:val="20"/>
        </w:rPr>
        <w:t>T</w:t>
      </w:r>
      <w:r w:rsidR="00CC65DA" w:rsidRPr="00B20B85">
        <w:rPr>
          <w:rFonts w:ascii="Arial" w:hAnsi="Arial" w:cs="Arial"/>
          <w:bCs/>
          <w:i/>
          <w:iCs/>
          <w:sz w:val="20"/>
          <w:szCs w:val="20"/>
        </w:rPr>
        <w:t>he motivation behind the desire for the Case 3 and Case 4 configurations is to enable a more efficient utilization of the dynamically accessible spectrum in CBRS band</w:t>
      </w:r>
      <w:r w:rsidR="004F1ED6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21981ACD" w14:textId="6348FF84" w:rsidR="000572D5" w:rsidRPr="00CF3841" w:rsidRDefault="000572D5" w:rsidP="0068530E">
      <w:pPr>
        <w:jc w:val="both"/>
        <w:rPr>
          <w:rFonts w:ascii="Arial" w:hAnsi="Arial" w:cs="Arial"/>
          <w:bCs/>
          <w:sz w:val="20"/>
          <w:szCs w:val="20"/>
        </w:rPr>
      </w:pPr>
    </w:p>
    <w:p w14:paraId="027F6205" w14:textId="5D241E69" w:rsidR="000572D5" w:rsidRDefault="0064163A" w:rsidP="000572D5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Observation 2</w:t>
      </w:r>
      <w:r w:rsidRPr="00A0194F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CC65DA" w:rsidRPr="00B20B85">
        <w:rPr>
          <w:rFonts w:ascii="Arial" w:hAnsi="Arial" w:cs="Arial"/>
          <w:bCs/>
          <w:i/>
          <w:iCs/>
          <w:sz w:val="20"/>
          <w:szCs w:val="20"/>
        </w:rPr>
        <w:t>The support of the Case 3 and Case 4 configurations would only make sense when the lower order configuration DC_48A_n48A is also supported by the UE</w:t>
      </w:r>
      <w:r w:rsidR="004F1ED6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7D6CC181" w14:textId="50485AFD" w:rsidR="0064163A" w:rsidRPr="00EE683F" w:rsidRDefault="0064163A" w:rsidP="00EE683F">
      <w:pPr>
        <w:jc w:val="both"/>
        <w:rPr>
          <w:rFonts w:ascii="Arial" w:hAnsi="Arial" w:cs="Arial"/>
          <w:bCs/>
          <w:sz w:val="20"/>
          <w:szCs w:val="20"/>
        </w:rPr>
      </w:pPr>
    </w:p>
    <w:p w14:paraId="105B8765" w14:textId="1E14F0ED" w:rsidR="0060438D" w:rsidRDefault="004F1ED6" w:rsidP="00EE683F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lastRenderedPageBreak/>
        <w:t>Proposal 1</w:t>
      </w:r>
      <w:r w:rsidRPr="00A0194F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CC65DA" w:rsidRPr="00160094">
        <w:rPr>
          <w:rFonts w:ascii="Arial" w:hAnsi="Arial" w:cs="Arial"/>
          <w:bCs/>
          <w:i/>
          <w:iCs/>
          <w:sz w:val="20"/>
          <w:szCs w:val="20"/>
        </w:rPr>
        <w:t>UE capability to support Case 3 configurations is indicated by either Solution 1 or Solution 2 as summarized in Table 2-3.</w:t>
      </w:r>
    </w:p>
    <w:p w14:paraId="4E1AB904" w14:textId="7238A046" w:rsidR="004F1ED6" w:rsidRPr="004F1ED6" w:rsidRDefault="004F1ED6" w:rsidP="004F1ED6">
      <w:pPr>
        <w:jc w:val="both"/>
        <w:rPr>
          <w:rFonts w:ascii="Arial" w:hAnsi="Arial" w:cs="Arial"/>
          <w:bCs/>
          <w:sz w:val="20"/>
          <w:szCs w:val="20"/>
        </w:rPr>
      </w:pPr>
    </w:p>
    <w:p w14:paraId="016984C3" w14:textId="7C89356A" w:rsidR="004F1ED6" w:rsidRDefault="004F1ED6" w:rsidP="00EE683F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Proposal 2</w:t>
      </w:r>
      <w:r w:rsidRPr="00A0194F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CC65DA" w:rsidRPr="00160094">
        <w:rPr>
          <w:rFonts w:ascii="Arial" w:hAnsi="Arial" w:cs="Arial"/>
          <w:bCs/>
          <w:i/>
          <w:iCs/>
          <w:sz w:val="20"/>
          <w:szCs w:val="20"/>
        </w:rPr>
        <w:t>UE capability to support Case 4 configurations is indicated by either Solution 1 or Solution 2 as summarized in Table 2-</w:t>
      </w:r>
      <w:r w:rsidR="00CC65DA">
        <w:rPr>
          <w:rFonts w:ascii="Arial" w:hAnsi="Arial" w:cs="Arial"/>
          <w:bCs/>
          <w:i/>
          <w:iCs/>
          <w:sz w:val="20"/>
          <w:szCs w:val="20"/>
        </w:rPr>
        <w:t>4</w:t>
      </w:r>
      <w:r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59D86AE7" w14:textId="5E8A15C7" w:rsidR="004F1ED6" w:rsidRPr="004F1ED6" w:rsidRDefault="004F1ED6" w:rsidP="004F1ED6">
      <w:pPr>
        <w:jc w:val="both"/>
        <w:rPr>
          <w:rFonts w:ascii="Arial" w:hAnsi="Arial" w:cs="Arial"/>
          <w:bCs/>
          <w:sz w:val="20"/>
          <w:szCs w:val="20"/>
        </w:rPr>
      </w:pPr>
    </w:p>
    <w:p w14:paraId="28058CE1" w14:textId="5FA59B86" w:rsidR="004F1ED6" w:rsidRPr="00BF306A" w:rsidRDefault="004F1ED6" w:rsidP="00BF306A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F1ED6">
        <w:rPr>
          <w:rFonts w:ascii="Arial" w:hAnsi="Arial" w:cs="Arial"/>
          <w:b/>
          <w:i/>
          <w:iCs/>
          <w:sz w:val="20"/>
          <w:szCs w:val="20"/>
        </w:rPr>
        <w:t xml:space="preserve">Proposal </w:t>
      </w:r>
      <w:r>
        <w:rPr>
          <w:rFonts w:ascii="Arial" w:hAnsi="Arial" w:cs="Arial"/>
          <w:b/>
          <w:i/>
          <w:iCs/>
          <w:sz w:val="20"/>
          <w:szCs w:val="20"/>
        </w:rPr>
        <w:t>3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CC65DA" w:rsidRPr="007157FD">
        <w:rPr>
          <w:rFonts w:ascii="Arial" w:hAnsi="Arial" w:cs="Arial"/>
          <w:bCs/>
          <w:i/>
          <w:iCs/>
          <w:sz w:val="20"/>
          <w:szCs w:val="20"/>
        </w:rPr>
        <w:t xml:space="preserve">Move the Case 3 configurations from </w:t>
      </w:r>
      <w:r w:rsidR="00CC65DA" w:rsidRPr="007157FD">
        <w:rPr>
          <w:rFonts w:ascii="Arial" w:hAnsi="Arial" w:cs="Arial"/>
          <w:i/>
          <w:iCs/>
          <w:sz w:val="20"/>
          <w:szCs w:val="20"/>
          <w:lang w:val="en-GB"/>
        </w:rPr>
        <w:t>Table 5.3B.1.2-1 (contiguous) to Table 5.3B.1.3-2 (mixed contiguous and non-contiguous) and from Table 5.5B.2-1 (contiguous) to Table 5.5B.3-2 (mixed contiguous and non-contiguous EN-DC) in TS 38.101-3 to remove the remaining ambiguity in RAN4 specifications.</w:t>
      </w: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0AC56EE4" w14:textId="78B34C50" w:rsidR="00BF306A" w:rsidRDefault="00BF306A" w:rsidP="00040A8C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BF306A">
        <w:rPr>
          <w:rFonts w:ascii="Arial" w:hAnsi="Arial" w:cs="Arial"/>
          <w:bCs/>
          <w:sz w:val="20"/>
          <w:szCs w:val="20"/>
        </w:rPr>
        <w:t>3GPP TS 38.101-3 V17.</w:t>
      </w:r>
      <w:r w:rsidR="00020FD7">
        <w:rPr>
          <w:rFonts w:ascii="Arial" w:hAnsi="Arial" w:cs="Arial"/>
          <w:bCs/>
          <w:sz w:val="20"/>
          <w:szCs w:val="20"/>
        </w:rPr>
        <w:t>7</w:t>
      </w:r>
      <w:r w:rsidRPr="00BF306A">
        <w:rPr>
          <w:rFonts w:ascii="Arial" w:hAnsi="Arial" w:cs="Arial"/>
          <w:bCs/>
          <w:sz w:val="20"/>
          <w:szCs w:val="20"/>
        </w:rPr>
        <w:t>.0 (2022-0</w:t>
      </w:r>
      <w:r w:rsidR="00020FD7">
        <w:rPr>
          <w:rFonts w:ascii="Arial" w:hAnsi="Arial" w:cs="Arial"/>
          <w:bCs/>
          <w:sz w:val="20"/>
          <w:szCs w:val="20"/>
        </w:rPr>
        <w:t>9</w:t>
      </w:r>
      <w:r w:rsidRPr="00BF306A">
        <w:rPr>
          <w:rFonts w:ascii="Arial" w:hAnsi="Arial" w:cs="Arial"/>
          <w:bCs/>
          <w:sz w:val="20"/>
          <w:szCs w:val="20"/>
        </w:rPr>
        <w:t>)</w:t>
      </w:r>
    </w:p>
    <w:p w14:paraId="498C4B5D" w14:textId="294ED6AF" w:rsidR="00BF306A" w:rsidRDefault="00BF306A" w:rsidP="00040A8C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BF306A">
        <w:rPr>
          <w:rFonts w:ascii="Arial" w:hAnsi="Arial" w:cs="Arial"/>
          <w:bCs/>
          <w:sz w:val="20"/>
          <w:szCs w:val="20"/>
        </w:rPr>
        <w:t>R4-2014914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Pr="00BF306A">
        <w:rPr>
          <w:rFonts w:ascii="Arial" w:hAnsi="Arial" w:cs="Arial"/>
          <w:bCs/>
          <w:sz w:val="20"/>
          <w:szCs w:val="20"/>
        </w:rPr>
        <w:t>CR for TS 38.101-3: Corrections for intra-band contiguous EN-DC configurations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BF306A">
        <w:rPr>
          <w:rFonts w:ascii="Arial" w:hAnsi="Arial" w:cs="Arial"/>
          <w:bCs/>
          <w:sz w:val="20"/>
          <w:szCs w:val="20"/>
        </w:rPr>
        <w:t>3GPP TSG-RAN WG4 Meeting #97-e</w:t>
      </w:r>
      <w:r>
        <w:rPr>
          <w:rFonts w:ascii="Arial" w:hAnsi="Arial" w:cs="Arial"/>
          <w:bCs/>
          <w:sz w:val="20"/>
          <w:szCs w:val="20"/>
        </w:rPr>
        <w:t xml:space="preserve">, Online, </w:t>
      </w:r>
      <w:r w:rsidRPr="00BF306A">
        <w:rPr>
          <w:rFonts w:ascii="Arial" w:hAnsi="Arial" w:cs="Arial"/>
          <w:bCs/>
          <w:sz w:val="20"/>
          <w:szCs w:val="20"/>
        </w:rPr>
        <w:t>November 2</w:t>
      </w:r>
      <w:r w:rsidRPr="00BF306A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Pr="00BF306A">
        <w:rPr>
          <w:rFonts w:ascii="Arial" w:hAnsi="Arial" w:cs="Arial"/>
          <w:bCs/>
          <w:sz w:val="20"/>
          <w:szCs w:val="20"/>
        </w:rPr>
        <w:t xml:space="preserve"> – 13</w:t>
      </w:r>
      <w:r w:rsidRPr="00BF306A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BF306A">
        <w:rPr>
          <w:rFonts w:ascii="Arial" w:hAnsi="Arial" w:cs="Arial"/>
          <w:bCs/>
          <w:sz w:val="20"/>
          <w:szCs w:val="20"/>
        </w:rPr>
        <w:t>, 2020</w:t>
      </w:r>
    </w:p>
    <w:p w14:paraId="117D8743" w14:textId="5068CCEB" w:rsidR="00BF306A" w:rsidRDefault="00BF306A" w:rsidP="00040A8C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RP-210640 “</w:t>
      </w:r>
      <w:r w:rsidRPr="00BF306A">
        <w:rPr>
          <w:rFonts w:ascii="Arial" w:hAnsi="Arial" w:cs="Arial"/>
          <w:bCs/>
          <w:sz w:val="20"/>
          <w:szCs w:val="20"/>
        </w:rPr>
        <w:t>Clarifications on intra-band contiguous and non-contiguous EN-DC combinations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BA50B0">
        <w:rPr>
          <w:rFonts w:ascii="Arial" w:hAnsi="Arial" w:cs="Arial"/>
          <w:sz w:val="20"/>
          <w:szCs w:val="20"/>
        </w:rPr>
        <w:t>3GPP TSG-RAN</w:t>
      </w:r>
      <w:r>
        <w:rPr>
          <w:rFonts w:ascii="Arial" w:hAnsi="Arial" w:cs="Arial"/>
          <w:sz w:val="20"/>
          <w:szCs w:val="20"/>
        </w:rPr>
        <w:t xml:space="preserve"> </w:t>
      </w:r>
      <w:r w:rsidRPr="00BA50B0">
        <w:rPr>
          <w:rFonts w:ascii="Arial" w:hAnsi="Arial" w:cs="Arial"/>
          <w:sz w:val="20"/>
          <w:szCs w:val="20"/>
        </w:rPr>
        <w:t>Meeting</w:t>
      </w:r>
      <w:r>
        <w:rPr>
          <w:rFonts w:ascii="Arial" w:hAnsi="Arial" w:cs="Arial"/>
          <w:sz w:val="20"/>
          <w:szCs w:val="20"/>
        </w:rPr>
        <w:t xml:space="preserve"> #91-e, Online, March 16</w:t>
      </w:r>
      <w:r w:rsidRPr="00BF306A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26</w:t>
      </w:r>
      <w:r w:rsidRPr="00BF306A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2021</w:t>
      </w:r>
    </w:p>
    <w:p w14:paraId="285E0463" w14:textId="6F4C54E5" w:rsidR="0057672C" w:rsidRPr="00CC65DA" w:rsidRDefault="00880889" w:rsidP="00BF30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880889">
        <w:rPr>
          <w:rFonts w:ascii="Arial" w:hAnsi="Arial" w:cs="Arial"/>
          <w:bCs/>
          <w:sz w:val="20"/>
          <w:szCs w:val="20"/>
        </w:rPr>
        <w:t>R</w:t>
      </w:r>
      <w:r w:rsidR="00823EC7">
        <w:rPr>
          <w:rFonts w:ascii="Arial" w:hAnsi="Arial" w:cs="Arial"/>
          <w:bCs/>
          <w:sz w:val="20"/>
          <w:szCs w:val="20"/>
        </w:rPr>
        <w:t>P</w:t>
      </w:r>
      <w:r w:rsidRPr="00880889">
        <w:rPr>
          <w:rFonts w:ascii="Arial" w:hAnsi="Arial" w:cs="Arial"/>
          <w:bCs/>
          <w:sz w:val="20"/>
          <w:szCs w:val="20"/>
        </w:rPr>
        <w:t>-</w:t>
      </w:r>
      <w:r w:rsidR="008F29A8">
        <w:rPr>
          <w:rFonts w:ascii="Arial" w:hAnsi="Arial" w:cs="Arial"/>
          <w:bCs/>
          <w:sz w:val="20"/>
          <w:szCs w:val="20"/>
        </w:rPr>
        <w:t>2</w:t>
      </w:r>
      <w:r w:rsidR="00823EC7">
        <w:rPr>
          <w:rFonts w:ascii="Arial" w:hAnsi="Arial" w:cs="Arial"/>
          <w:bCs/>
          <w:sz w:val="20"/>
          <w:szCs w:val="20"/>
        </w:rPr>
        <w:t>2</w:t>
      </w:r>
      <w:r w:rsidR="00BF306A">
        <w:rPr>
          <w:rFonts w:ascii="Arial" w:hAnsi="Arial" w:cs="Arial"/>
          <w:bCs/>
          <w:sz w:val="20"/>
          <w:szCs w:val="20"/>
        </w:rPr>
        <w:t>2646</w:t>
      </w:r>
      <w:r w:rsidR="00E80040" w:rsidRPr="00BA50B0">
        <w:rPr>
          <w:rFonts w:ascii="Arial" w:hAnsi="Arial" w:cs="Arial"/>
          <w:bCs/>
          <w:sz w:val="20"/>
          <w:szCs w:val="20"/>
        </w:rPr>
        <w:t xml:space="preserve"> “</w:t>
      </w:r>
      <w:r w:rsidR="00BF306A" w:rsidRPr="00BF306A">
        <w:rPr>
          <w:rFonts w:ascii="Arial" w:hAnsi="Arial" w:cs="Arial"/>
          <w:bCs/>
          <w:sz w:val="20"/>
          <w:szCs w:val="20"/>
          <w:lang w:val="en-GB"/>
        </w:rPr>
        <w:t>Discussion on intra-band EN-DC combination</w:t>
      </w:r>
      <w:r w:rsidR="00E80040" w:rsidRPr="00BA50B0">
        <w:rPr>
          <w:rFonts w:ascii="Arial" w:hAnsi="Arial" w:cs="Arial"/>
          <w:bCs/>
          <w:sz w:val="20"/>
          <w:szCs w:val="20"/>
        </w:rPr>
        <w:t xml:space="preserve">”, </w:t>
      </w:r>
      <w:r w:rsidR="00BF306A" w:rsidRPr="00BF306A">
        <w:rPr>
          <w:rFonts w:ascii="Arial" w:hAnsi="Arial" w:cs="Arial"/>
          <w:bCs/>
          <w:sz w:val="20"/>
          <w:szCs w:val="20"/>
          <w:lang w:val="en-GB"/>
        </w:rPr>
        <w:t>Huawei, Hi</w:t>
      </w:r>
      <w:r w:rsidR="00BF306A">
        <w:rPr>
          <w:rFonts w:ascii="Arial" w:hAnsi="Arial" w:cs="Arial"/>
          <w:bCs/>
          <w:sz w:val="20"/>
          <w:szCs w:val="20"/>
          <w:lang w:val="en-GB"/>
        </w:rPr>
        <w:t>S</w:t>
      </w:r>
      <w:r w:rsidR="00BF306A" w:rsidRPr="00BF306A">
        <w:rPr>
          <w:rFonts w:ascii="Arial" w:hAnsi="Arial" w:cs="Arial"/>
          <w:bCs/>
          <w:sz w:val="20"/>
          <w:szCs w:val="20"/>
          <w:lang w:val="en-GB"/>
        </w:rPr>
        <w:t>ilicon</w:t>
      </w:r>
      <w:r w:rsidR="00E80040" w:rsidRPr="00BA50B0">
        <w:rPr>
          <w:rFonts w:ascii="Arial" w:hAnsi="Arial" w:cs="Arial"/>
          <w:bCs/>
          <w:sz w:val="20"/>
          <w:szCs w:val="20"/>
        </w:rPr>
        <w:t xml:space="preserve">, </w:t>
      </w:r>
      <w:r w:rsidR="00E80040" w:rsidRPr="00BA50B0">
        <w:rPr>
          <w:rFonts w:ascii="Arial" w:hAnsi="Arial" w:cs="Arial"/>
          <w:sz w:val="20"/>
          <w:szCs w:val="20"/>
        </w:rPr>
        <w:t>3GPP TSG-RAN</w:t>
      </w:r>
      <w:r w:rsidR="0060438D">
        <w:rPr>
          <w:rFonts w:ascii="Arial" w:hAnsi="Arial" w:cs="Arial"/>
          <w:sz w:val="20"/>
          <w:szCs w:val="20"/>
        </w:rPr>
        <w:t xml:space="preserve"> </w:t>
      </w:r>
      <w:r w:rsidR="00E80040" w:rsidRPr="00BA50B0">
        <w:rPr>
          <w:rFonts w:ascii="Arial" w:hAnsi="Arial" w:cs="Arial"/>
          <w:sz w:val="20"/>
          <w:szCs w:val="20"/>
        </w:rPr>
        <w:t>Meeting #</w:t>
      </w:r>
      <w:r w:rsidR="00BF306A">
        <w:rPr>
          <w:rFonts w:ascii="Arial" w:hAnsi="Arial" w:cs="Arial"/>
          <w:sz w:val="20"/>
          <w:szCs w:val="20"/>
        </w:rPr>
        <w:t>97-e</w:t>
      </w:r>
      <w:r w:rsidR="00E80040" w:rsidRPr="00BA50B0">
        <w:rPr>
          <w:rFonts w:ascii="Arial" w:hAnsi="Arial" w:cs="Arial"/>
          <w:sz w:val="20"/>
          <w:szCs w:val="20"/>
        </w:rPr>
        <w:t xml:space="preserve">, </w:t>
      </w:r>
      <w:r w:rsidR="00BF306A">
        <w:rPr>
          <w:rFonts w:ascii="Arial" w:hAnsi="Arial" w:cs="Arial"/>
          <w:sz w:val="20"/>
          <w:szCs w:val="20"/>
        </w:rPr>
        <w:t>Online</w:t>
      </w:r>
      <w:r>
        <w:rPr>
          <w:rFonts w:ascii="Arial" w:hAnsi="Arial" w:cs="Arial"/>
          <w:sz w:val="20"/>
          <w:szCs w:val="20"/>
        </w:rPr>
        <w:t xml:space="preserve">, </w:t>
      </w:r>
      <w:r w:rsidR="00BF306A">
        <w:rPr>
          <w:rFonts w:ascii="Arial" w:hAnsi="Arial" w:cs="Arial"/>
          <w:sz w:val="20"/>
          <w:szCs w:val="20"/>
        </w:rPr>
        <w:t>September</w:t>
      </w:r>
      <w:r w:rsidR="00E80040" w:rsidRPr="00BA50B0">
        <w:rPr>
          <w:rFonts w:ascii="Arial" w:hAnsi="Arial" w:cs="Arial"/>
          <w:sz w:val="20"/>
          <w:szCs w:val="20"/>
        </w:rPr>
        <w:t xml:space="preserve"> </w:t>
      </w:r>
      <w:r w:rsidR="00BF306A">
        <w:rPr>
          <w:rFonts w:ascii="Arial" w:hAnsi="Arial" w:cs="Arial"/>
          <w:sz w:val="20"/>
          <w:szCs w:val="20"/>
        </w:rPr>
        <w:t>12</w:t>
      </w:r>
      <w:r w:rsidR="0060438D">
        <w:rPr>
          <w:rFonts w:ascii="Arial" w:hAnsi="Arial" w:cs="Arial"/>
          <w:sz w:val="20"/>
          <w:szCs w:val="20"/>
          <w:vertAlign w:val="superscript"/>
        </w:rPr>
        <w:t>th</w:t>
      </w:r>
      <w:r w:rsidR="00E80040" w:rsidRPr="00BA50B0">
        <w:rPr>
          <w:rFonts w:ascii="Arial" w:hAnsi="Arial" w:cs="Arial"/>
          <w:sz w:val="20"/>
          <w:szCs w:val="20"/>
        </w:rPr>
        <w:t xml:space="preserve"> – </w:t>
      </w:r>
      <w:r w:rsidR="00BF306A">
        <w:rPr>
          <w:rFonts w:ascii="Arial" w:hAnsi="Arial" w:cs="Arial"/>
          <w:sz w:val="20"/>
          <w:szCs w:val="20"/>
        </w:rPr>
        <w:t>16</w:t>
      </w:r>
      <w:r w:rsidR="00E80040" w:rsidRPr="00BA50B0">
        <w:rPr>
          <w:rFonts w:ascii="Arial" w:hAnsi="Arial" w:cs="Arial"/>
          <w:sz w:val="20"/>
          <w:szCs w:val="20"/>
          <w:vertAlign w:val="superscript"/>
        </w:rPr>
        <w:t>th</w:t>
      </w:r>
      <w:r w:rsidR="00E80040" w:rsidRPr="00BA50B0">
        <w:rPr>
          <w:rFonts w:ascii="Arial" w:hAnsi="Arial" w:cs="Arial"/>
          <w:sz w:val="20"/>
          <w:szCs w:val="20"/>
        </w:rPr>
        <w:t>, 20</w:t>
      </w:r>
      <w:r w:rsidR="008F29A8">
        <w:rPr>
          <w:rFonts w:ascii="Arial" w:hAnsi="Arial" w:cs="Arial"/>
          <w:sz w:val="20"/>
          <w:szCs w:val="20"/>
        </w:rPr>
        <w:t>2</w:t>
      </w:r>
      <w:r w:rsidR="0060438D">
        <w:rPr>
          <w:rFonts w:ascii="Arial" w:hAnsi="Arial" w:cs="Arial"/>
          <w:sz w:val="20"/>
          <w:szCs w:val="20"/>
        </w:rPr>
        <w:t>2</w:t>
      </w:r>
    </w:p>
    <w:p w14:paraId="5E61C0A3" w14:textId="5CC4B7CC" w:rsidR="00CC65DA" w:rsidRDefault="00CC65DA" w:rsidP="00BF30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R4-</w:t>
      </w:r>
      <w:r w:rsidR="008B3843">
        <w:rPr>
          <w:rFonts w:ascii="Arial" w:hAnsi="Arial" w:cs="Arial"/>
          <w:sz w:val="20"/>
          <w:szCs w:val="20"/>
        </w:rPr>
        <w:t xml:space="preserve">2217759 “WF </w:t>
      </w:r>
      <w:r w:rsidR="008B3843" w:rsidRPr="008B3843">
        <w:rPr>
          <w:rFonts w:ascii="Arial" w:hAnsi="Arial" w:cs="Arial"/>
          <w:sz w:val="20"/>
          <w:szCs w:val="20"/>
        </w:rPr>
        <w:t>on IntrabandENDC-Support</w:t>
      </w:r>
      <w:r w:rsidR="008B3843">
        <w:rPr>
          <w:rFonts w:ascii="Arial" w:hAnsi="Arial" w:cs="Arial"/>
          <w:sz w:val="20"/>
          <w:szCs w:val="20"/>
        </w:rPr>
        <w:t xml:space="preserve">”, OPPO, </w:t>
      </w:r>
      <w:r w:rsidR="008B3843" w:rsidRPr="00BF306A">
        <w:rPr>
          <w:rFonts w:ascii="Arial" w:hAnsi="Arial" w:cs="Arial"/>
          <w:bCs/>
          <w:sz w:val="20"/>
          <w:szCs w:val="20"/>
        </w:rPr>
        <w:t>3GPP TSG-RAN WG4 Meeting #</w:t>
      </w:r>
      <w:r w:rsidR="008B3843">
        <w:rPr>
          <w:rFonts w:ascii="Arial" w:hAnsi="Arial" w:cs="Arial"/>
          <w:bCs/>
          <w:sz w:val="20"/>
          <w:szCs w:val="20"/>
        </w:rPr>
        <w:t>104bis</w:t>
      </w:r>
      <w:r w:rsidR="008B3843" w:rsidRPr="00BF306A">
        <w:rPr>
          <w:rFonts w:ascii="Arial" w:hAnsi="Arial" w:cs="Arial"/>
          <w:bCs/>
          <w:sz w:val="20"/>
          <w:szCs w:val="20"/>
        </w:rPr>
        <w:t>-e</w:t>
      </w:r>
      <w:r w:rsidR="008B3843">
        <w:rPr>
          <w:rFonts w:ascii="Arial" w:hAnsi="Arial" w:cs="Arial"/>
          <w:bCs/>
          <w:sz w:val="20"/>
          <w:szCs w:val="20"/>
        </w:rPr>
        <w:t>, Online, October</w:t>
      </w:r>
      <w:r w:rsidR="008B3843" w:rsidRPr="00BF306A">
        <w:rPr>
          <w:rFonts w:ascii="Arial" w:hAnsi="Arial" w:cs="Arial"/>
          <w:bCs/>
          <w:sz w:val="20"/>
          <w:szCs w:val="20"/>
        </w:rPr>
        <w:t xml:space="preserve"> </w:t>
      </w:r>
      <w:r w:rsidR="008B3843">
        <w:rPr>
          <w:rFonts w:ascii="Arial" w:hAnsi="Arial" w:cs="Arial"/>
          <w:bCs/>
          <w:sz w:val="20"/>
          <w:szCs w:val="20"/>
        </w:rPr>
        <w:t>10</w:t>
      </w:r>
      <w:r w:rsidR="008B3843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8B3843" w:rsidRPr="00BF306A">
        <w:rPr>
          <w:rFonts w:ascii="Arial" w:hAnsi="Arial" w:cs="Arial"/>
          <w:bCs/>
          <w:sz w:val="20"/>
          <w:szCs w:val="20"/>
        </w:rPr>
        <w:t xml:space="preserve"> – 1</w:t>
      </w:r>
      <w:r w:rsidR="008B3843">
        <w:rPr>
          <w:rFonts w:ascii="Arial" w:hAnsi="Arial" w:cs="Arial"/>
          <w:bCs/>
          <w:sz w:val="20"/>
          <w:szCs w:val="20"/>
        </w:rPr>
        <w:t>9</w:t>
      </w:r>
      <w:r w:rsidR="008B3843" w:rsidRPr="00BF306A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8B3843" w:rsidRPr="00BF306A">
        <w:rPr>
          <w:rFonts w:ascii="Arial" w:hAnsi="Arial" w:cs="Arial"/>
          <w:bCs/>
          <w:sz w:val="20"/>
          <w:szCs w:val="20"/>
        </w:rPr>
        <w:t>, 202</w:t>
      </w:r>
      <w:r w:rsidR="008B3843">
        <w:rPr>
          <w:rFonts w:ascii="Arial" w:hAnsi="Arial" w:cs="Arial"/>
          <w:bCs/>
          <w:sz w:val="20"/>
          <w:szCs w:val="20"/>
        </w:rPr>
        <w:t>2</w:t>
      </w:r>
    </w:p>
    <w:p w14:paraId="01CBE41B" w14:textId="55294CB0" w:rsidR="008D6389" w:rsidRPr="00BF306A" w:rsidRDefault="008D6389" w:rsidP="00BF30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R4-22xxxxx “CR to TS 38.101-3</w:t>
      </w:r>
      <w:r w:rsidR="007A5F47">
        <w:rPr>
          <w:rFonts w:ascii="Arial" w:hAnsi="Arial" w:cs="Arial"/>
          <w:bCs/>
          <w:sz w:val="20"/>
          <w:szCs w:val="20"/>
        </w:rPr>
        <w:t xml:space="preserve"> for c</w:t>
      </w:r>
      <w:r>
        <w:rPr>
          <w:rFonts w:ascii="Arial" w:hAnsi="Arial" w:cs="Arial"/>
          <w:bCs/>
          <w:sz w:val="20"/>
          <w:szCs w:val="20"/>
        </w:rPr>
        <w:t xml:space="preserve">orrections on intra-band EN-DC configurations”, Apple, </w:t>
      </w:r>
      <w:r w:rsidRPr="00BF306A">
        <w:rPr>
          <w:rFonts w:ascii="Arial" w:hAnsi="Arial" w:cs="Arial"/>
          <w:bCs/>
          <w:sz w:val="20"/>
          <w:szCs w:val="20"/>
        </w:rPr>
        <w:t>3GPP TSG-RAN WG4 Meeting #</w:t>
      </w:r>
      <w:r>
        <w:rPr>
          <w:rFonts w:ascii="Arial" w:hAnsi="Arial" w:cs="Arial"/>
          <w:bCs/>
          <w:sz w:val="20"/>
          <w:szCs w:val="20"/>
        </w:rPr>
        <w:t>105, Toulouse, France, November 14</w:t>
      </w:r>
      <w:r w:rsidRPr="008D6389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18</w:t>
      </w:r>
      <w:r w:rsidRPr="008D6389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2022</w:t>
      </w:r>
    </w:p>
    <w:p w14:paraId="21AF846C" w14:textId="6577ED1D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44D04F1F" w14:textId="06782D16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4B6649C8" w14:textId="2E295E9D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041F8887" w14:textId="48C54E34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5455EC58" w14:textId="7F58C26F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0B280DB2" w14:textId="1AA21266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56A89763" w14:textId="1CC4A3FB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3ED3A70E" w14:textId="58BC99E1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p w14:paraId="566825C1" w14:textId="747D2EDB" w:rsidR="0057672C" w:rsidRDefault="0057672C" w:rsidP="0057672C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</w:p>
    <w:sectPr w:rsidR="0057672C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2E0A0" w14:textId="77777777" w:rsidR="003D4A81" w:rsidRDefault="003D4A81">
      <w:r>
        <w:separator/>
      </w:r>
    </w:p>
  </w:endnote>
  <w:endnote w:type="continuationSeparator" w:id="0">
    <w:p w14:paraId="220FA3E8" w14:textId="77777777" w:rsidR="003D4A81" w:rsidRDefault="003D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D3E01" w14:textId="77777777" w:rsidR="003D4A81" w:rsidRDefault="003D4A81">
      <w:r>
        <w:separator/>
      </w:r>
    </w:p>
  </w:footnote>
  <w:footnote w:type="continuationSeparator" w:id="0">
    <w:p w14:paraId="2F832F8D" w14:textId="77777777" w:rsidR="003D4A81" w:rsidRDefault="003D4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80941"/>
    <w:multiLevelType w:val="hybridMultilevel"/>
    <w:tmpl w:val="5E740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9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5"/>
  </w:num>
  <w:num w:numId="8" w16cid:durableId="2080327107">
    <w:abstractNumId w:val="6"/>
  </w:num>
  <w:num w:numId="9" w16cid:durableId="459036515">
    <w:abstractNumId w:val="16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2"/>
  </w:num>
  <w:num w:numId="13" w16cid:durableId="1621182100">
    <w:abstractNumId w:val="10"/>
  </w:num>
  <w:num w:numId="14" w16cid:durableId="681855791">
    <w:abstractNumId w:val="11"/>
  </w:num>
  <w:num w:numId="15" w16cid:durableId="1387412062">
    <w:abstractNumId w:val="17"/>
  </w:num>
  <w:num w:numId="16" w16cid:durableId="1707214678">
    <w:abstractNumId w:val="23"/>
  </w:num>
  <w:num w:numId="17" w16cid:durableId="1228883719">
    <w:abstractNumId w:val="14"/>
  </w:num>
  <w:num w:numId="18" w16cid:durableId="1736001611">
    <w:abstractNumId w:val="9"/>
  </w:num>
  <w:num w:numId="19" w16cid:durableId="1708026189">
    <w:abstractNumId w:val="21"/>
  </w:num>
  <w:num w:numId="20" w16cid:durableId="2134398882">
    <w:abstractNumId w:val="13"/>
  </w:num>
  <w:num w:numId="21" w16cid:durableId="1707292931">
    <w:abstractNumId w:val="12"/>
  </w:num>
  <w:num w:numId="22" w16cid:durableId="1872840210">
    <w:abstractNumId w:val="5"/>
  </w:num>
  <w:num w:numId="23" w16cid:durableId="988828275">
    <w:abstractNumId w:val="18"/>
  </w:num>
  <w:num w:numId="24" w16cid:durableId="639112823">
    <w:abstractNumId w:val="20"/>
  </w:num>
  <w:num w:numId="25" w16cid:durableId="1758358505">
    <w:abstractNumId w:val="4"/>
  </w:num>
  <w:num w:numId="26" w16cid:durableId="632946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4765"/>
    <w:rsid w:val="0000623D"/>
    <w:rsid w:val="00011CAD"/>
    <w:rsid w:val="0001503B"/>
    <w:rsid w:val="00016134"/>
    <w:rsid w:val="000206DB"/>
    <w:rsid w:val="00020FD7"/>
    <w:rsid w:val="00023B9C"/>
    <w:rsid w:val="00031EC5"/>
    <w:rsid w:val="00032A14"/>
    <w:rsid w:val="00033397"/>
    <w:rsid w:val="000357CB"/>
    <w:rsid w:val="00035A90"/>
    <w:rsid w:val="00040095"/>
    <w:rsid w:val="00040A8C"/>
    <w:rsid w:val="000446B1"/>
    <w:rsid w:val="00044DE2"/>
    <w:rsid w:val="00051834"/>
    <w:rsid w:val="000526D6"/>
    <w:rsid w:val="000544CF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36FD"/>
    <w:rsid w:val="00080512"/>
    <w:rsid w:val="00080638"/>
    <w:rsid w:val="0008297C"/>
    <w:rsid w:val="00095EA8"/>
    <w:rsid w:val="000A0A4F"/>
    <w:rsid w:val="000A0C3B"/>
    <w:rsid w:val="000A150F"/>
    <w:rsid w:val="000A365D"/>
    <w:rsid w:val="000A68F3"/>
    <w:rsid w:val="000B61FB"/>
    <w:rsid w:val="000C16C8"/>
    <w:rsid w:val="000C47C3"/>
    <w:rsid w:val="000D0571"/>
    <w:rsid w:val="000D0FD8"/>
    <w:rsid w:val="000D50E3"/>
    <w:rsid w:val="000D58AB"/>
    <w:rsid w:val="000D5D70"/>
    <w:rsid w:val="000D6A52"/>
    <w:rsid w:val="000E1A37"/>
    <w:rsid w:val="000E1CAF"/>
    <w:rsid w:val="000E2238"/>
    <w:rsid w:val="000E751D"/>
    <w:rsid w:val="000F3929"/>
    <w:rsid w:val="0010474C"/>
    <w:rsid w:val="00104BC6"/>
    <w:rsid w:val="00106A77"/>
    <w:rsid w:val="00110A8D"/>
    <w:rsid w:val="00113A07"/>
    <w:rsid w:val="00114E2C"/>
    <w:rsid w:val="00121103"/>
    <w:rsid w:val="00133525"/>
    <w:rsid w:val="0013501D"/>
    <w:rsid w:val="00137EE2"/>
    <w:rsid w:val="00141326"/>
    <w:rsid w:val="001441A8"/>
    <w:rsid w:val="00146BF3"/>
    <w:rsid w:val="001476E2"/>
    <w:rsid w:val="001553DE"/>
    <w:rsid w:val="00160094"/>
    <w:rsid w:val="00160A04"/>
    <w:rsid w:val="001655BB"/>
    <w:rsid w:val="0016611C"/>
    <w:rsid w:val="00166B5C"/>
    <w:rsid w:val="00171900"/>
    <w:rsid w:val="0017381F"/>
    <w:rsid w:val="0017591E"/>
    <w:rsid w:val="00176183"/>
    <w:rsid w:val="00181118"/>
    <w:rsid w:val="001815E8"/>
    <w:rsid w:val="001825F0"/>
    <w:rsid w:val="00183720"/>
    <w:rsid w:val="001841B1"/>
    <w:rsid w:val="00185E52"/>
    <w:rsid w:val="00197470"/>
    <w:rsid w:val="001A410D"/>
    <w:rsid w:val="001A4C42"/>
    <w:rsid w:val="001A7772"/>
    <w:rsid w:val="001B7371"/>
    <w:rsid w:val="001C21C3"/>
    <w:rsid w:val="001D02C2"/>
    <w:rsid w:val="001D1470"/>
    <w:rsid w:val="001D2A82"/>
    <w:rsid w:val="001E08B8"/>
    <w:rsid w:val="001E145D"/>
    <w:rsid w:val="001F0C1D"/>
    <w:rsid w:val="001F1132"/>
    <w:rsid w:val="001F168B"/>
    <w:rsid w:val="001F6FF3"/>
    <w:rsid w:val="00204648"/>
    <w:rsid w:val="00205934"/>
    <w:rsid w:val="002107B1"/>
    <w:rsid w:val="00215C07"/>
    <w:rsid w:val="0021744E"/>
    <w:rsid w:val="00217AE3"/>
    <w:rsid w:val="00217F77"/>
    <w:rsid w:val="0022541F"/>
    <w:rsid w:val="00231349"/>
    <w:rsid w:val="002347A2"/>
    <w:rsid w:val="00234D70"/>
    <w:rsid w:val="0024384F"/>
    <w:rsid w:val="002450A4"/>
    <w:rsid w:val="00247926"/>
    <w:rsid w:val="002608DE"/>
    <w:rsid w:val="00261B7C"/>
    <w:rsid w:val="002633BF"/>
    <w:rsid w:val="002637C2"/>
    <w:rsid w:val="0026424E"/>
    <w:rsid w:val="002675F0"/>
    <w:rsid w:val="0027117B"/>
    <w:rsid w:val="00274A90"/>
    <w:rsid w:val="00276C70"/>
    <w:rsid w:val="00276EE4"/>
    <w:rsid w:val="00277172"/>
    <w:rsid w:val="00277585"/>
    <w:rsid w:val="00277626"/>
    <w:rsid w:val="0028193A"/>
    <w:rsid w:val="00284236"/>
    <w:rsid w:val="0028485D"/>
    <w:rsid w:val="0029079A"/>
    <w:rsid w:val="00296065"/>
    <w:rsid w:val="002A07F2"/>
    <w:rsid w:val="002A2A03"/>
    <w:rsid w:val="002A51BE"/>
    <w:rsid w:val="002A6542"/>
    <w:rsid w:val="002A797D"/>
    <w:rsid w:val="002B1B99"/>
    <w:rsid w:val="002B36A1"/>
    <w:rsid w:val="002B592F"/>
    <w:rsid w:val="002B6339"/>
    <w:rsid w:val="002B6EF4"/>
    <w:rsid w:val="002C011F"/>
    <w:rsid w:val="002C0334"/>
    <w:rsid w:val="002C79FA"/>
    <w:rsid w:val="002D2519"/>
    <w:rsid w:val="002D2B19"/>
    <w:rsid w:val="002D3298"/>
    <w:rsid w:val="002D405E"/>
    <w:rsid w:val="002D61E3"/>
    <w:rsid w:val="002E00EE"/>
    <w:rsid w:val="002E4D11"/>
    <w:rsid w:val="002E7499"/>
    <w:rsid w:val="002E75F6"/>
    <w:rsid w:val="002F4933"/>
    <w:rsid w:val="002F4F9E"/>
    <w:rsid w:val="00302C30"/>
    <w:rsid w:val="0030430D"/>
    <w:rsid w:val="00311180"/>
    <w:rsid w:val="00313E2F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5462D"/>
    <w:rsid w:val="00354C53"/>
    <w:rsid w:val="003765B8"/>
    <w:rsid w:val="003772E9"/>
    <w:rsid w:val="00381DCA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07CA"/>
    <w:rsid w:val="003A07DD"/>
    <w:rsid w:val="003A66C6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D4A81"/>
    <w:rsid w:val="003D7CB2"/>
    <w:rsid w:val="003E3B62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166A1"/>
    <w:rsid w:val="0041733B"/>
    <w:rsid w:val="00420FB8"/>
    <w:rsid w:val="00423334"/>
    <w:rsid w:val="00426737"/>
    <w:rsid w:val="0043242D"/>
    <w:rsid w:val="004345EC"/>
    <w:rsid w:val="00453FE3"/>
    <w:rsid w:val="004540A9"/>
    <w:rsid w:val="00463240"/>
    <w:rsid w:val="004667DE"/>
    <w:rsid w:val="00470E29"/>
    <w:rsid w:val="004728B7"/>
    <w:rsid w:val="00472B98"/>
    <w:rsid w:val="00474C44"/>
    <w:rsid w:val="0047564A"/>
    <w:rsid w:val="00475AC6"/>
    <w:rsid w:val="004768DA"/>
    <w:rsid w:val="004812DD"/>
    <w:rsid w:val="004819D5"/>
    <w:rsid w:val="004826A9"/>
    <w:rsid w:val="004868AD"/>
    <w:rsid w:val="004A3D27"/>
    <w:rsid w:val="004A48FA"/>
    <w:rsid w:val="004A5DB3"/>
    <w:rsid w:val="004B3447"/>
    <w:rsid w:val="004B5861"/>
    <w:rsid w:val="004B5C7F"/>
    <w:rsid w:val="004B5DF3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5ADE"/>
    <w:rsid w:val="004D5EB9"/>
    <w:rsid w:val="004E213A"/>
    <w:rsid w:val="004E2762"/>
    <w:rsid w:val="004F0988"/>
    <w:rsid w:val="004F1ED6"/>
    <w:rsid w:val="004F3340"/>
    <w:rsid w:val="004F38A3"/>
    <w:rsid w:val="004F3E3D"/>
    <w:rsid w:val="004F58D8"/>
    <w:rsid w:val="004F7D81"/>
    <w:rsid w:val="004F7DEF"/>
    <w:rsid w:val="00502D4C"/>
    <w:rsid w:val="005038CA"/>
    <w:rsid w:val="00504DB3"/>
    <w:rsid w:val="00506C9D"/>
    <w:rsid w:val="005147FF"/>
    <w:rsid w:val="005155F4"/>
    <w:rsid w:val="00523F59"/>
    <w:rsid w:val="00531036"/>
    <w:rsid w:val="0053388B"/>
    <w:rsid w:val="00534BE5"/>
    <w:rsid w:val="00535773"/>
    <w:rsid w:val="00536779"/>
    <w:rsid w:val="00543E6C"/>
    <w:rsid w:val="0055291B"/>
    <w:rsid w:val="00556D61"/>
    <w:rsid w:val="00560892"/>
    <w:rsid w:val="00563714"/>
    <w:rsid w:val="005644B1"/>
    <w:rsid w:val="00565087"/>
    <w:rsid w:val="00567534"/>
    <w:rsid w:val="00572E14"/>
    <w:rsid w:val="0057381A"/>
    <w:rsid w:val="0057672C"/>
    <w:rsid w:val="005776DB"/>
    <w:rsid w:val="005834F5"/>
    <w:rsid w:val="005876FE"/>
    <w:rsid w:val="00594A1E"/>
    <w:rsid w:val="00594F57"/>
    <w:rsid w:val="005973BE"/>
    <w:rsid w:val="005A283F"/>
    <w:rsid w:val="005A4921"/>
    <w:rsid w:val="005A5986"/>
    <w:rsid w:val="005A656C"/>
    <w:rsid w:val="005B363E"/>
    <w:rsid w:val="005B74DA"/>
    <w:rsid w:val="005C2501"/>
    <w:rsid w:val="005C25FF"/>
    <w:rsid w:val="005C43AC"/>
    <w:rsid w:val="005D2E01"/>
    <w:rsid w:val="005D4FFE"/>
    <w:rsid w:val="005D7526"/>
    <w:rsid w:val="005E2982"/>
    <w:rsid w:val="005E6516"/>
    <w:rsid w:val="005E66AC"/>
    <w:rsid w:val="005E69AE"/>
    <w:rsid w:val="005E7D87"/>
    <w:rsid w:val="005F23E7"/>
    <w:rsid w:val="005F39D5"/>
    <w:rsid w:val="0060129F"/>
    <w:rsid w:val="00602AEA"/>
    <w:rsid w:val="0060438D"/>
    <w:rsid w:val="006073EA"/>
    <w:rsid w:val="00607E3C"/>
    <w:rsid w:val="00614FDF"/>
    <w:rsid w:val="006151BD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543D"/>
    <w:rsid w:val="0064163A"/>
    <w:rsid w:val="006423F8"/>
    <w:rsid w:val="00647114"/>
    <w:rsid w:val="006528E0"/>
    <w:rsid w:val="00654ADA"/>
    <w:rsid w:val="00656249"/>
    <w:rsid w:val="00656B9D"/>
    <w:rsid w:val="00662106"/>
    <w:rsid w:val="00663541"/>
    <w:rsid w:val="0066559E"/>
    <w:rsid w:val="0068290F"/>
    <w:rsid w:val="0068530E"/>
    <w:rsid w:val="00687D57"/>
    <w:rsid w:val="006A2C3D"/>
    <w:rsid w:val="006A323F"/>
    <w:rsid w:val="006A5D67"/>
    <w:rsid w:val="006A7137"/>
    <w:rsid w:val="006A7DEF"/>
    <w:rsid w:val="006B1090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5410"/>
    <w:rsid w:val="006D7B72"/>
    <w:rsid w:val="006E5C86"/>
    <w:rsid w:val="006F137C"/>
    <w:rsid w:val="006F4A2D"/>
    <w:rsid w:val="006F5C12"/>
    <w:rsid w:val="00701A75"/>
    <w:rsid w:val="0070297F"/>
    <w:rsid w:val="0070556D"/>
    <w:rsid w:val="00711CF9"/>
    <w:rsid w:val="00713C44"/>
    <w:rsid w:val="007157FD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3321"/>
    <w:rsid w:val="00765AB3"/>
    <w:rsid w:val="00765B58"/>
    <w:rsid w:val="00772FB5"/>
    <w:rsid w:val="00774DA4"/>
    <w:rsid w:val="00781F0F"/>
    <w:rsid w:val="007833DA"/>
    <w:rsid w:val="007921F5"/>
    <w:rsid w:val="0079544F"/>
    <w:rsid w:val="007A57AC"/>
    <w:rsid w:val="007A5F47"/>
    <w:rsid w:val="007A6283"/>
    <w:rsid w:val="007A7C22"/>
    <w:rsid w:val="007A7EA5"/>
    <w:rsid w:val="007B356D"/>
    <w:rsid w:val="007B500E"/>
    <w:rsid w:val="007B600E"/>
    <w:rsid w:val="007D12CB"/>
    <w:rsid w:val="007D1CA7"/>
    <w:rsid w:val="007E1E1E"/>
    <w:rsid w:val="007E27DA"/>
    <w:rsid w:val="007E33C8"/>
    <w:rsid w:val="007E4845"/>
    <w:rsid w:val="007E5AE9"/>
    <w:rsid w:val="007E6354"/>
    <w:rsid w:val="007F0F4A"/>
    <w:rsid w:val="007F1CFA"/>
    <w:rsid w:val="007F2042"/>
    <w:rsid w:val="007F221E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3EC7"/>
    <w:rsid w:val="0082493D"/>
    <w:rsid w:val="00825EDF"/>
    <w:rsid w:val="00830747"/>
    <w:rsid w:val="0083755B"/>
    <w:rsid w:val="00840959"/>
    <w:rsid w:val="00840DCA"/>
    <w:rsid w:val="008454C5"/>
    <w:rsid w:val="00850FBE"/>
    <w:rsid w:val="00851681"/>
    <w:rsid w:val="0085227D"/>
    <w:rsid w:val="00854543"/>
    <w:rsid w:val="0085666A"/>
    <w:rsid w:val="00870EB0"/>
    <w:rsid w:val="008768CA"/>
    <w:rsid w:val="00880889"/>
    <w:rsid w:val="008832EB"/>
    <w:rsid w:val="00886F35"/>
    <w:rsid w:val="0088727A"/>
    <w:rsid w:val="0089062C"/>
    <w:rsid w:val="00895E23"/>
    <w:rsid w:val="008A3527"/>
    <w:rsid w:val="008A5F18"/>
    <w:rsid w:val="008A78FF"/>
    <w:rsid w:val="008B3843"/>
    <w:rsid w:val="008C2245"/>
    <w:rsid w:val="008C384C"/>
    <w:rsid w:val="008C494B"/>
    <w:rsid w:val="008C5949"/>
    <w:rsid w:val="008D07F7"/>
    <w:rsid w:val="008D4262"/>
    <w:rsid w:val="008D4F18"/>
    <w:rsid w:val="008D6389"/>
    <w:rsid w:val="008E2413"/>
    <w:rsid w:val="008E7986"/>
    <w:rsid w:val="008F29A8"/>
    <w:rsid w:val="008F626A"/>
    <w:rsid w:val="0090271F"/>
    <w:rsid w:val="00902846"/>
    <w:rsid w:val="00902E23"/>
    <w:rsid w:val="0090727C"/>
    <w:rsid w:val="00907543"/>
    <w:rsid w:val="0091018D"/>
    <w:rsid w:val="009114D7"/>
    <w:rsid w:val="0091348E"/>
    <w:rsid w:val="0091435F"/>
    <w:rsid w:val="00914B4B"/>
    <w:rsid w:val="00916637"/>
    <w:rsid w:val="00917334"/>
    <w:rsid w:val="00917CCB"/>
    <w:rsid w:val="00921E71"/>
    <w:rsid w:val="00924C53"/>
    <w:rsid w:val="00930919"/>
    <w:rsid w:val="00934C80"/>
    <w:rsid w:val="00935136"/>
    <w:rsid w:val="009411A8"/>
    <w:rsid w:val="00942EC2"/>
    <w:rsid w:val="0094625B"/>
    <w:rsid w:val="00952E04"/>
    <w:rsid w:val="00954A0C"/>
    <w:rsid w:val="00955390"/>
    <w:rsid w:val="009574BA"/>
    <w:rsid w:val="00957852"/>
    <w:rsid w:val="00957B49"/>
    <w:rsid w:val="00964DA3"/>
    <w:rsid w:val="00965947"/>
    <w:rsid w:val="00965ED0"/>
    <w:rsid w:val="009751F6"/>
    <w:rsid w:val="00982A84"/>
    <w:rsid w:val="009929FF"/>
    <w:rsid w:val="009A1B25"/>
    <w:rsid w:val="009B236A"/>
    <w:rsid w:val="009B373D"/>
    <w:rsid w:val="009B3A45"/>
    <w:rsid w:val="009C2313"/>
    <w:rsid w:val="009C3639"/>
    <w:rsid w:val="009C4F99"/>
    <w:rsid w:val="009D2B95"/>
    <w:rsid w:val="009D4870"/>
    <w:rsid w:val="009D528F"/>
    <w:rsid w:val="009E21E8"/>
    <w:rsid w:val="009E23D5"/>
    <w:rsid w:val="009E643A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5F1F"/>
    <w:rsid w:val="00A164B4"/>
    <w:rsid w:val="00A164E3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830"/>
    <w:rsid w:val="00A517B0"/>
    <w:rsid w:val="00A53724"/>
    <w:rsid w:val="00A542F7"/>
    <w:rsid w:val="00A5609E"/>
    <w:rsid w:val="00A625A6"/>
    <w:rsid w:val="00A658B9"/>
    <w:rsid w:val="00A67816"/>
    <w:rsid w:val="00A704BE"/>
    <w:rsid w:val="00A70BF5"/>
    <w:rsid w:val="00A7175A"/>
    <w:rsid w:val="00A73129"/>
    <w:rsid w:val="00A747AC"/>
    <w:rsid w:val="00A75621"/>
    <w:rsid w:val="00A820FB"/>
    <w:rsid w:val="00A82346"/>
    <w:rsid w:val="00A83518"/>
    <w:rsid w:val="00A9004D"/>
    <w:rsid w:val="00A92BA1"/>
    <w:rsid w:val="00A942D0"/>
    <w:rsid w:val="00AA13E3"/>
    <w:rsid w:val="00AA3D5D"/>
    <w:rsid w:val="00AA40ED"/>
    <w:rsid w:val="00AA5567"/>
    <w:rsid w:val="00AA5A3D"/>
    <w:rsid w:val="00AB1619"/>
    <w:rsid w:val="00AB5A96"/>
    <w:rsid w:val="00AC0150"/>
    <w:rsid w:val="00AC3CC6"/>
    <w:rsid w:val="00AC541B"/>
    <w:rsid w:val="00AC6BC6"/>
    <w:rsid w:val="00AD32E7"/>
    <w:rsid w:val="00AD5F64"/>
    <w:rsid w:val="00AE1937"/>
    <w:rsid w:val="00AE3797"/>
    <w:rsid w:val="00AE4698"/>
    <w:rsid w:val="00AE6823"/>
    <w:rsid w:val="00AF2977"/>
    <w:rsid w:val="00AF7AB0"/>
    <w:rsid w:val="00B067E0"/>
    <w:rsid w:val="00B128FD"/>
    <w:rsid w:val="00B150E6"/>
    <w:rsid w:val="00B15449"/>
    <w:rsid w:val="00B16E7C"/>
    <w:rsid w:val="00B20B85"/>
    <w:rsid w:val="00B3227E"/>
    <w:rsid w:val="00B35505"/>
    <w:rsid w:val="00B36A7D"/>
    <w:rsid w:val="00B37C70"/>
    <w:rsid w:val="00B40FBE"/>
    <w:rsid w:val="00B44F81"/>
    <w:rsid w:val="00B50264"/>
    <w:rsid w:val="00B51CDC"/>
    <w:rsid w:val="00B5302C"/>
    <w:rsid w:val="00B65A49"/>
    <w:rsid w:val="00B76FBB"/>
    <w:rsid w:val="00B804A1"/>
    <w:rsid w:val="00B863E2"/>
    <w:rsid w:val="00B93086"/>
    <w:rsid w:val="00BA19ED"/>
    <w:rsid w:val="00BA299D"/>
    <w:rsid w:val="00BA300B"/>
    <w:rsid w:val="00BA4B8D"/>
    <w:rsid w:val="00BA50B0"/>
    <w:rsid w:val="00BC0F7D"/>
    <w:rsid w:val="00BC179E"/>
    <w:rsid w:val="00BC2130"/>
    <w:rsid w:val="00BC227B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E5078"/>
    <w:rsid w:val="00BF01FB"/>
    <w:rsid w:val="00BF095A"/>
    <w:rsid w:val="00BF128E"/>
    <w:rsid w:val="00BF306A"/>
    <w:rsid w:val="00BF4C3B"/>
    <w:rsid w:val="00BF692E"/>
    <w:rsid w:val="00C00555"/>
    <w:rsid w:val="00C010CD"/>
    <w:rsid w:val="00C0292C"/>
    <w:rsid w:val="00C05CE0"/>
    <w:rsid w:val="00C079CE"/>
    <w:rsid w:val="00C1496A"/>
    <w:rsid w:val="00C16008"/>
    <w:rsid w:val="00C1711F"/>
    <w:rsid w:val="00C2036A"/>
    <w:rsid w:val="00C31FAB"/>
    <w:rsid w:val="00C32DE7"/>
    <w:rsid w:val="00C33079"/>
    <w:rsid w:val="00C331E9"/>
    <w:rsid w:val="00C34D05"/>
    <w:rsid w:val="00C358C6"/>
    <w:rsid w:val="00C371F9"/>
    <w:rsid w:val="00C40EAD"/>
    <w:rsid w:val="00C45231"/>
    <w:rsid w:val="00C5093D"/>
    <w:rsid w:val="00C509CE"/>
    <w:rsid w:val="00C53DE8"/>
    <w:rsid w:val="00C54C23"/>
    <w:rsid w:val="00C575E9"/>
    <w:rsid w:val="00C64182"/>
    <w:rsid w:val="00C71DA1"/>
    <w:rsid w:val="00C72833"/>
    <w:rsid w:val="00C76BB0"/>
    <w:rsid w:val="00C77CBD"/>
    <w:rsid w:val="00C80F1D"/>
    <w:rsid w:val="00C81197"/>
    <w:rsid w:val="00C87227"/>
    <w:rsid w:val="00C90E0A"/>
    <w:rsid w:val="00C90FE2"/>
    <w:rsid w:val="00C91F36"/>
    <w:rsid w:val="00C92A14"/>
    <w:rsid w:val="00C92A96"/>
    <w:rsid w:val="00C92B00"/>
    <w:rsid w:val="00C93912"/>
    <w:rsid w:val="00C93F40"/>
    <w:rsid w:val="00CA3D0C"/>
    <w:rsid w:val="00CA4213"/>
    <w:rsid w:val="00CA510C"/>
    <w:rsid w:val="00CB45A1"/>
    <w:rsid w:val="00CB69DE"/>
    <w:rsid w:val="00CB7AD0"/>
    <w:rsid w:val="00CC5BE3"/>
    <w:rsid w:val="00CC65DA"/>
    <w:rsid w:val="00CD5CF4"/>
    <w:rsid w:val="00CE0B91"/>
    <w:rsid w:val="00CE1B41"/>
    <w:rsid w:val="00CE2F48"/>
    <w:rsid w:val="00CE6DD7"/>
    <w:rsid w:val="00CF20E3"/>
    <w:rsid w:val="00CF3841"/>
    <w:rsid w:val="00CF620C"/>
    <w:rsid w:val="00CF65B5"/>
    <w:rsid w:val="00D00BA3"/>
    <w:rsid w:val="00D05C22"/>
    <w:rsid w:val="00D07B82"/>
    <w:rsid w:val="00D1495D"/>
    <w:rsid w:val="00D22803"/>
    <w:rsid w:val="00D238B2"/>
    <w:rsid w:val="00D23F96"/>
    <w:rsid w:val="00D2683C"/>
    <w:rsid w:val="00D309CC"/>
    <w:rsid w:val="00D41D01"/>
    <w:rsid w:val="00D4587A"/>
    <w:rsid w:val="00D463D6"/>
    <w:rsid w:val="00D46431"/>
    <w:rsid w:val="00D5479E"/>
    <w:rsid w:val="00D56A52"/>
    <w:rsid w:val="00D57972"/>
    <w:rsid w:val="00D603CA"/>
    <w:rsid w:val="00D653C6"/>
    <w:rsid w:val="00D675A9"/>
    <w:rsid w:val="00D71468"/>
    <w:rsid w:val="00D738D6"/>
    <w:rsid w:val="00D74B53"/>
    <w:rsid w:val="00D74E7B"/>
    <w:rsid w:val="00D755EB"/>
    <w:rsid w:val="00D80235"/>
    <w:rsid w:val="00D81B4C"/>
    <w:rsid w:val="00D84D58"/>
    <w:rsid w:val="00D8507E"/>
    <w:rsid w:val="00D87E00"/>
    <w:rsid w:val="00D90060"/>
    <w:rsid w:val="00D9134D"/>
    <w:rsid w:val="00D92E1E"/>
    <w:rsid w:val="00D94AC9"/>
    <w:rsid w:val="00D97761"/>
    <w:rsid w:val="00D97CE6"/>
    <w:rsid w:val="00DA3C0D"/>
    <w:rsid w:val="00DA7A03"/>
    <w:rsid w:val="00DB06CF"/>
    <w:rsid w:val="00DB1818"/>
    <w:rsid w:val="00DB4052"/>
    <w:rsid w:val="00DB79F7"/>
    <w:rsid w:val="00DC309B"/>
    <w:rsid w:val="00DC353B"/>
    <w:rsid w:val="00DC4DA2"/>
    <w:rsid w:val="00DD07AA"/>
    <w:rsid w:val="00DD4C17"/>
    <w:rsid w:val="00DD4D52"/>
    <w:rsid w:val="00DE0507"/>
    <w:rsid w:val="00DE227C"/>
    <w:rsid w:val="00DE55C3"/>
    <w:rsid w:val="00DF19EA"/>
    <w:rsid w:val="00DF2B1F"/>
    <w:rsid w:val="00DF6189"/>
    <w:rsid w:val="00DF62CD"/>
    <w:rsid w:val="00DF6424"/>
    <w:rsid w:val="00E06316"/>
    <w:rsid w:val="00E07A70"/>
    <w:rsid w:val="00E13F78"/>
    <w:rsid w:val="00E16509"/>
    <w:rsid w:val="00E235DB"/>
    <w:rsid w:val="00E2376C"/>
    <w:rsid w:val="00E2413E"/>
    <w:rsid w:val="00E24513"/>
    <w:rsid w:val="00E33CFC"/>
    <w:rsid w:val="00E35B70"/>
    <w:rsid w:val="00E3687A"/>
    <w:rsid w:val="00E40AE6"/>
    <w:rsid w:val="00E40E1C"/>
    <w:rsid w:val="00E427F6"/>
    <w:rsid w:val="00E44582"/>
    <w:rsid w:val="00E471F4"/>
    <w:rsid w:val="00E50F5D"/>
    <w:rsid w:val="00E513C1"/>
    <w:rsid w:val="00E52814"/>
    <w:rsid w:val="00E54B95"/>
    <w:rsid w:val="00E565E0"/>
    <w:rsid w:val="00E64596"/>
    <w:rsid w:val="00E72324"/>
    <w:rsid w:val="00E725DD"/>
    <w:rsid w:val="00E72ABE"/>
    <w:rsid w:val="00E73578"/>
    <w:rsid w:val="00E74333"/>
    <w:rsid w:val="00E77645"/>
    <w:rsid w:val="00E80040"/>
    <w:rsid w:val="00E922FE"/>
    <w:rsid w:val="00E963F7"/>
    <w:rsid w:val="00EA4D3E"/>
    <w:rsid w:val="00EB061A"/>
    <w:rsid w:val="00EB1575"/>
    <w:rsid w:val="00EB7E28"/>
    <w:rsid w:val="00EC361F"/>
    <w:rsid w:val="00EC4847"/>
    <w:rsid w:val="00EC4A25"/>
    <w:rsid w:val="00EC4F16"/>
    <w:rsid w:val="00EC55DC"/>
    <w:rsid w:val="00EC7246"/>
    <w:rsid w:val="00EE5AA7"/>
    <w:rsid w:val="00EE683F"/>
    <w:rsid w:val="00EE7844"/>
    <w:rsid w:val="00EF70F3"/>
    <w:rsid w:val="00F025A2"/>
    <w:rsid w:val="00F04712"/>
    <w:rsid w:val="00F06F13"/>
    <w:rsid w:val="00F073C3"/>
    <w:rsid w:val="00F10C13"/>
    <w:rsid w:val="00F15570"/>
    <w:rsid w:val="00F169CF"/>
    <w:rsid w:val="00F200BB"/>
    <w:rsid w:val="00F21311"/>
    <w:rsid w:val="00F22EC7"/>
    <w:rsid w:val="00F3250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22E2"/>
    <w:rsid w:val="00F72F4F"/>
    <w:rsid w:val="00F7495C"/>
    <w:rsid w:val="00F77D67"/>
    <w:rsid w:val="00F80F5C"/>
    <w:rsid w:val="00F83ACC"/>
    <w:rsid w:val="00F87D29"/>
    <w:rsid w:val="00F90B00"/>
    <w:rsid w:val="00F92945"/>
    <w:rsid w:val="00FA1266"/>
    <w:rsid w:val="00FA29A4"/>
    <w:rsid w:val="00FA3A4C"/>
    <w:rsid w:val="00FB645D"/>
    <w:rsid w:val="00FC1192"/>
    <w:rsid w:val="00FD2950"/>
    <w:rsid w:val="00FD63FE"/>
    <w:rsid w:val="00FD6763"/>
    <w:rsid w:val="00FD67F0"/>
    <w:rsid w:val="00FD72EF"/>
    <w:rsid w:val="00FE14B1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rsid w:val="00F07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16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5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2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7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</TotalTime>
  <Pages>4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10658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2022-11-06T22:55:00Z</dcterms:created>
  <dcterms:modified xsi:type="dcterms:W3CDTF">2022-11-07T19:41:00Z</dcterms:modified>
  <cp:category/>
</cp:coreProperties>
</file>